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根据《西南交通大学师资补充工作实施办法（试行）》和《西南交通大学教师岗位公开招聘工作管理办法（修订）》的要求，现对信息科学与技术学院2018年</w:t>
      </w:r>
      <w:r>
        <w:rPr>
          <w:rFonts w:hint="eastAsia"/>
          <w:lang w:eastAsia="zh-CN"/>
        </w:rPr>
        <w:t>第十一</w:t>
      </w:r>
      <w:r>
        <w:rPr>
          <w:rFonts w:hint="eastAsia"/>
        </w:rPr>
        <w:t>批拟面试的应聘人员予以匿名公示如下：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2018年度公开招聘应聘人员情况</w:t>
      </w:r>
    </w:p>
    <w:p>
      <w:pPr>
        <w:spacing w:line="360" w:lineRule="auto"/>
        <w:ind w:left="4" w:leftChars="-495" w:hanging="1043" w:hangingChars="433"/>
        <w:rPr>
          <w:rFonts w:hint="eastAsia" w:ascii="Times New Roman" w:hAnsi="Times New Roman"/>
          <w:b/>
          <w:sz w:val="24"/>
          <w:szCs w:val="24"/>
          <w:lang w:eastAsia="zh-CN"/>
        </w:rPr>
      </w:pPr>
      <w:r>
        <w:rPr>
          <w:rFonts w:hint="eastAsia" w:ascii="Times New Roman" w:hAnsi="Times New Roman"/>
          <w:b/>
          <w:sz w:val="24"/>
          <w:szCs w:val="24"/>
          <w:lang w:eastAsia="zh-CN"/>
        </w:rPr>
        <w:t>应聘人员一：</w:t>
      </w:r>
    </w:p>
    <w:p>
      <w:pPr>
        <w:spacing w:line="360" w:lineRule="auto"/>
        <w:ind w:firstLine="241" w:firstLineChars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hint="eastAsia" w:ascii="Times New Roman" w:hAnsi="Times New Roman"/>
          <w:b/>
          <w:sz w:val="24"/>
          <w:szCs w:val="24"/>
        </w:rPr>
        <w:t>、基本情况</w:t>
      </w:r>
    </w:p>
    <w:tbl>
      <w:tblPr>
        <w:tblStyle w:val="7"/>
        <w:tblW w:w="10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2067"/>
        <w:gridCol w:w="1417"/>
        <w:gridCol w:w="1913"/>
        <w:gridCol w:w="1417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国籍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/>
                <w:color w:val="000000"/>
                <w:sz w:val="20"/>
                <w:szCs w:val="20"/>
              </w:rPr>
              <w:t>中国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1665" w:type="dxa"/>
          </w:tcPr>
          <w:p>
            <w:pPr>
              <w:rPr>
                <w:rFonts w:ascii="宋体" w:hAnsi="Times New Roman"/>
                <w:color w:val="000000"/>
                <w:szCs w:val="24"/>
              </w:rPr>
            </w:pPr>
            <w:r>
              <w:rPr>
                <w:rFonts w:hint="eastAsia" w:ascii="宋体" w:hAnsi="Times New Roman"/>
                <w:color w:val="000000"/>
                <w:szCs w:val="24"/>
              </w:rPr>
              <w:t>四川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现任专业</w:t>
            </w:r>
          </w:p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技术职务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/>
                <w:color w:val="000000"/>
                <w:sz w:val="20"/>
                <w:szCs w:val="20"/>
              </w:rPr>
              <w:t>高级研究工程师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任职时间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/>
                <w:color w:val="000000"/>
                <w:sz w:val="20"/>
                <w:szCs w:val="20"/>
              </w:rPr>
              <w:t>2018年3月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Cs w:val="24"/>
              </w:rPr>
            </w:pPr>
            <w:r>
              <w:rPr>
                <w:rFonts w:hint="eastAsia" w:ascii="宋体" w:hAnsi="Times New Roman"/>
                <w:color w:val="000000"/>
                <w:szCs w:val="24"/>
              </w:rPr>
              <w:t>1987年6月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现工作单位或人事关系所在部门</w:t>
            </w:r>
          </w:p>
        </w:tc>
        <w:tc>
          <w:tcPr>
            <w:tcW w:w="8479" w:type="dxa"/>
            <w:gridSpan w:val="5"/>
            <w:vAlign w:val="center"/>
          </w:tcPr>
          <w:p>
            <w:pPr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/>
                <w:color w:val="000000"/>
                <w:sz w:val="20"/>
                <w:szCs w:val="20"/>
              </w:rPr>
              <w:t>成都华为技术有限公司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最后学位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/>
                <w:color w:val="000000"/>
                <w:sz w:val="20"/>
                <w:szCs w:val="20"/>
              </w:rPr>
              <w:t>博士（PhD）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授予学位单位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/>
                <w:color w:val="000000"/>
                <w:sz w:val="20"/>
                <w:szCs w:val="20"/>
              </w:rPr>
              <w:t>香港城市大学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最后学习阶段导师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/>
                <w:color w:val="000000"/>
                <w:sz w:val="20"/>
                <w:szCs w:val="20"/>
              </w:rPr>
              <w:t>陈仕俊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国内外主要学术及社会兼职</w:t>
            </w:r>
          </w:p>
        </w:tc>
        <w:tc>
          <w:tcPr>
            <w:tcW w:w="5397" w:type="dxa"/>
            <w:gridSpan w:val="3"/>
            <w:vAlign w:val="center"/>
          </w:tcPr>
          <w:p>
            <w:pPr>
              <w:jc w:val="left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/>
                <w:color w:val="000000"/>
                <w:sz w:val="20"/>
                <w:szCs w:val="20"/>
              </w:rPr>
              <w:t>Optics Letters, Optics Express, Chinese Optics Letters 审稿人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从事专业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半导体激光器非线性动力学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0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主要学术成绩、创新成果及评价</w:t>
            </w:r>
          </w:p>
          <w:p>
            <w:pPr>
              <w:jc w:val="center"/>
              <w:rPr>
                <w:rFonts w:ascii="宋体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（限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800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字以内）</w:t>
            </w:r>
          </w:p>
        </w:tc>
        <w:tc>
          <w:tcPr>
            <w:tcW w:w="8479" w:type="dxa"/>
            <w:gridSpan w:val="5"/>
            <w:vAlign w:val="center"/>
          </w:tcPr>
          <w:p>
            <w:pPr>
              <w:ind w:firstLine="420" w:firstLineChars="200"/>
              <w:jc w:val="left"/>
              <w:rPr>
                <w:rFonts w:ascii="宋体" w:hAnsi="Times New Roman"/>
                <w:szCs w:val="24"/>
              </w:rPr>
            </w:pPr>
            <w:r>
              <w:rPr>
                <w:rFonts w:hint="eastAsia" w:ascii="宋体" w:hAnsi="Times New Roman"/>
                <w:szCs w:val="24"/>
              </w:rPr>
              <w:t>个人主要研究方向：半导体激光器非线性动力学，混沌激光器，半导体环形腔激光器，光子微波，以及光纤非线性。</w:t>
            </w:r>
          </w:p>
          <w:p>
            <w:pPr>
              <w:ind w:firstLine="420" w:firstLineChars="200"/>
              <w:jc w:val="left"/>
              <w:rPr>
                <w:rFonts w:ascii="宋体" w:hAnsi="Times New Roman"/>
                <w:szCs w:val="24"/>
              </w:rPr>
            </w:pPr>
          </w:p>
          <w:p>
            <w:pPr>
              <w:ind w:firstLine="400" w:firstLineChars="200"/>
              <w:jc w:val="left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围绕光反馈半导体激光器的时延特征展开了系统性研究，主要工作包括：</w:t>
            </w:r>
          </w:p>
          <w:p>
            <w:pPr>
              <w:autoSpaceDE w:val="0"/>
              <w:autoSpaceDN w:val="0"/>
              <w:adjustRightInd w:val="0"/>
              <w:ind w:firstLine="400" w:firstLineChars="20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1.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首次提出利用FBG的分布式光反馈来诱导半导体激光器产生混沌状态，并予以实现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。研究发现FBG的色散特性是导致时延信息模糊的决定性因素。相比于传统的镜面光反馈系统，FBG反馈使时延信息抑制能力提高了一个量级，且混沌带宽并没有显著变窄。首次在实验上实现基于FBG反馈的时延信息模糊化的混沌光信号生成，进而实现了可调范围为0.3-100Gbps的高速物理随机数生成。</w:t>
            </w:r>
          </w:p>
          <w:p>
            <w:pPr>
              <w:autoSpaceDE w:val="0"/>
              <w:autoSpaceDN w:val="0"/>
              <w:adjustRightInd w:val="0"/>
              <w:ind w:firstLine="400" w:firstLineChars="20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2.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提出利用光纤非线性实现混沌激光的带宽拓展及时延信息消除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，并予以实现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。一方面，光纤非线性中的自相位调制（SPM）效应使混沌激光的带宽得到拓展，实验上得到了超过100GHz混沌带宽；另一方面，SPM和anomalous群速度色散相互作用，使混沌激光的时延信息得到消除。</w:t>
            </w:r>
          </w:p>
          <w:p>
            <w:pPr>
              <w:autoSpaceDE w:val="0"/>
              <w:autoSpaceDN w:val="0"/>
              <w:adjustRightInd w:val="0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3.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提出利用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反向延迟互反馈诱导半导体环形腔激光器（SRL）呈现方波振荡的动力学状态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，并予以实现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。基于双外腔反馈的配置，使CW模式反馈进入CCW模式，反之亦然。一方面方波的占空比可调；另一方面还可实现高阶方波生成（实验上达到了13阶）。实验生成方波的电谱基频线宽为1.1kHz，其理论振荡周期可达GHz量级（主要受限于SRL的弛豫振荡和交替振荡）。</w:t>
            </w:r>
          </w:p>
          <w:p>
            <w:pPr>
              <w:autoSpaceDE w:val="0"/>
              <w:autoSpaceDN w:val="0"/>
              <w:adjustRightInd w:val="0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 首次在实验上验证了SRL对反馈光的非敏感特性。SRL对反馈光的非敏感特性已经在理论上得到广泛认可，但还没有得到实验验证。主要研究光反馈下激光器的线宽变化，以及构建self-mixing interferometry研究耦合到lasing纵模光场的反馈光强度。通过对比传统Fabry-Perot腔半导体激光器的响应，实验上验证SRL对反馈光具有25-30dB的非敏感优势。</w:t>
            </w:r>
          </w:p>
          <w:p>
            <w:pPr>
              <w:ind w:firstLine="400" w:firstLineChars="2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以上成果发表SCI期刊论文10篇</w:t>
            </w:r>
            <w:r>
              <w:rPr>
                <w:rFonts w:ascii="宋体" w:hAnsi="宋体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sz w:val="20"/>
                <w:szCs w:val="20"/>
              </w:rPr>
              <w:t>第一或通讯作者5篇</w:t>
            </w:r>
            <w:r>
              <w:rPr>
                <w:rFonts w:ascii="宋体" w:hAnsi="宋体"/>
                <w:sz w:val="20"/>
                <w:szCs w:val="20"/>
              </w:rPr>
              <w:t>)</w:t>
            </w:r>
            <w:r>
              <w:rPr>
                <w:rFonts w:hint="eastAsia" w:ascii="宋体" w:hAnsi="宋体"/>
                <w:sz w:val="20"/>
                <w:szCs w:val="20"/>
              </w:rPr>
              <w:t>，</w:t>
            </w:r>
            <w:r>
              <w:rPr>
                <w:rFonts w:ascii="宋体" w:hAnsi="宋体"/>
                <w:sz w:val="20"/>
                <w:szCs w:val="20"/>
              </w:rPr>
              <w:t>SCI</w:t>
            </w:r>
            <w:r>
              <w:rPr>
                <w:rFonts w:hint="eastAsia" w:ascii="宋体" w:hAnsi="宋体"/>
                <w:sz w:val="20"/>
                <w:szCs w:val="20"/>
              </w:rPr>
              <w:t>他人引用93次（Web of Science）。研究工作被国际光学工程学会（SPIE）Newsroom专题报道。</w:t>
            </w:r>
          </w:p>
          <w:p>
            <w:pPr>
              <w:ind w:firstLine="300" w:firstLineChars="150"/>
              <w:jc w:val="left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>明确：第一作者或通信作者论文：</w:t>
            </w:r>
            <w:r>
              <w:rPr>
                <w:rFonts w:ascii="宋体" w:hAnsi="宋体"/>
                <w:sz w:val="20"/>
                <w:szCs w:val="20"/>
              </w:rPr>
              <w:t>A++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>　5　</w:t>
            </w:r>
            <w:r>
              <w:rPr>
                <w:rFonts w:hint="eastAsia" w:ascii="宋体" w:hAnsi="宋体"/>
                <w:sz w:val="20"/>
                <w:szCs w:val="20"/>
              </w:rPr>
              <w:t>篇；</w:t>
            </w:r>
            <w:r>
              <w:rPr>
                <w:rFonts w:ascii="宋体" w:hAnsi="宋体"/>
                <w:sz w:val="20"/>
                <w:szCs w:val="20"/>
              </w:rPr>
              <w:t>A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>　1　</w:t>
            </w:r>
            <w:r>
              <w:rPr>
                <w:rFonts w:hint="eastAsia" w:ascii="宋体" w:hAnsi="宋体"/>
                <w:sz w:val="20"/>
                <w:szCs w:val="20"/>
              </w:rPr>
              <w:t>篇；</w:t>
            </w:r>
            <w:r>
              <w:rPr>
                <w:rFonts w:ascii="宋体" w:hAnsi="宋体"/>
                <w:sz w:val="20"/>
                <w:szCs w:val="20"/>
              </w:rPr>
              <w:t>B+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>　1　</w:t>
            </w:r>
            <w:r>
              <w:rPr>
                <w:rFonts w:hint="eastAsia" w:ascii="宋体" w:hAnsi="宋体"/>
                <w:sz w:val="20"/>
                <w:szCs w:val="20"/>
              </w:rPr>
              <w:t>篇。</w:t>
            </w:r>
          </w:p>
        </w:tc>
      </w:tr>
    </w:tbl>
    <w:p>
      <w:pPr>
        <w:spacing w:line="360" w:lineRule="auto"/>
        <w:ind w:firstLine="361" w:firstLineChars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hint="eastAsia" w:ascii="Times New Roman" w:hAnsi="Times New Roman"/>
          <w:b/>
          <w:sz w:val="24"/>
          <w:szCs w:val="24"/>
        </w:rPr>
        <w:t>、学习经历</w:t>
      </w:r>
    </w:p>
    <w:tbl>
      <w:tblPr>
        <w:tblStyle w:val="7"/>
        <w:tblW w:w="10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2224"/>
        <w:gridCol w:w="1801"/>
        <w:gridCol w:w="2024"/>
        <w:gridCol w:w="177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学历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/>
                <w:sz w:val="20"/>
                <w:szCs w:val="20"/>
              </w:rPr>
              <w:t>学位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起止时间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毕业学校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所学专业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导师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本科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2005.9-2009.7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电子科技大学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通信工程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博士（直博）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2013.2-2017.7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香港城市大学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电子工程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陈仕俊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全日制</w:t>
            </w:r>
          </w:p>
        </w:tc>
      </w:tr>
    </w:tbl>
    <w:p>
      <w:pPr>
        <w:spacing w:line="360" w:lineRule="auto"/>
        <w:ind w:left="239" w:leftChars="114" w:firstLine="120" w:firstLineChars="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hint="eastAsia" w:ascii="Times New Roman" w:hAnsi="Times New Roman"/>
          <w:b/>
          <w:sz w:val="24"/>
          <w:szCs w:val="24"/>
        </w:rPr>
        <w:t>、工作经历</w:t>
      </w:r>
    </w:p>
    <w:tbl>
      <w:tblPr>
        <w:tblStyle w:val="7"/>
        <w:tblW w:w="10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4"/>
        <w:gridCol w:w="3474"/>
        <w:gridCol w:w="3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4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起止时间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职位名称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任职单位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3474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2009.7-2011.4</w:t>
            </w:r>
          </w:p>
        </w:tc>
        <w:tc>
          <w:tcPr>
            <w:tcW w:w="3474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硬件工程师</w:t>
            </w:r>
          </w:p>
        </w:tc>
        <w:tc>
          <w:tcPr>
            <w:tcW w:w="3472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深圳桑菲消费通信有限公司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474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2011.5-2012.12</w:t>
            </w:r>
          </w:p>
        </w:tc>
        <w:tc>
          <w:tcPr>
            <w:tcW w:w="3474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研究助理</w:t>
            </w:r>
          </w:p>
        </w:tc>
        <w:tc>
          <w:tcPr>
            <w:tcW w:w="3472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香港城市大学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474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2016.4-2016.10</w:t>
            </w:r>
          </w:p>
        </w:tc>
        <w:tc>
          <w:tcPr>
            <w:tcW w:w="3474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访问研究员</w:t>
            </w:r>
          </w:p>
        </w:tc>
        <w:tc>
          <w:tcPr>
            <w:tcW w:w="3472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英国格拉斯哥大学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474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2017.8-2018.2</w:t>
            </w:r>
          </w:p>
        </w:tc>
        <w:tc>
          <w:tcPr>
            <w:tcW w:w="3474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博士后研究员</w:t>
            </w:r>
          </w:p>
        </w:tc>
        <w:tc>
          <w:tcPr>
            <w:tcW w:w="3472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香港城市大学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474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2018.3-至今</w:t>
            </w:r>
          </w:p>
        </w:tc>
        <w:tc>
          <w:tcPr>
            <w:tcW w:w="3474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高级研究工程师</w:t>
            </w:r>
          </w:p>
        </w:tc>
        <w:tc>
          <w:tcPr>
            <w:tcW w:w="3472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成都华为技术有限公司</w:t>
            </w:r>
          </w:p>
        </w:tc>
      </w:tr>
    </w:tbl>
    <w:p>
      <w:pPr>
        <w:spacing w:line="360" w:lineRule="auto"/>
        <w:ind w:left="239" w:leftChars="114" w:firstLine="120" w:firstLineChars="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hint="eastAsia" w:ascii="Times New Roman" w:hAnsi="Times New Roman"/>
          <w:b/>
          <w:sz w:val="24"/>
          <w:szCs w:val="24"/>
        </w:rPr>
        <w:t>、论文情况（</w:t>
      </w:r>
      <w:r>
        <w:rPr>
          <w:rFonts w:ascii="宋体" w:hAnsi="宋体"/>
          <w:b/>
          <w:szCs w:val="24"/>
        </w:rPr>
        <w:t>5</w:t>
      </w:r>
      <w:r>
        <w:rPr>
          <w:rFonts w:hint="eastAsia" w:ascii="宋体" w:hAnsi="宋体"/>
          <w:b/>
          <w:szCs w:val="24"/>
        </w:rPr>
        <w:t>篇以内代表性论文）</w:t>
      </w:r>
      <w:r>
        <w:rPr>
          <w:rFonts w:hint="eastAsia" w:ascii="Times New Roman" w:hAnsi="Times New Roman"/>
          <w:b/>
          <w:sz w:val="24"/>
          <w:szCs w:val="24"/>
        </w:rPr>
        <w:t>：</w:t>
      </w:r>
    </w:p>
    <w:tbl>
      <w:tblPr>
        <w:tblStyle w:val="7"/>
        <w:tblW w:w="106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3402"/>
        <w:gridCol w:w="1134"/>
        <w:gridCol w:w="1134"/>
        <w:gridCol w:w="425"/>
        <w:gridCol w:w="851"/>
        <w:gridCol w:w="1134"/>
        <w:gridCol w:w="992"/>
        <w:gridCol w:w="709"/>
        <w:gridCol w:w="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8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序</w:t>
            </w:r>
          </w:p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题目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发表刊物或</w:t>
            </w:r>
          </w:p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出版单位名称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年度</w:t>
            </w:r>
          </w:p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期号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作者</w:t>
            </w:r>
          </w:p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排名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第一作者</w:t>
            </w:r>
          </w:p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单位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刊物性质及期刊号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论文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分区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（学术期刊分级</w:t>
            </w:r>
            <w:r>
              <w:rPr>
                <w:rFonts w:ascii="Times New Roman" w:hAnsi="Times New Roman"/>
                <w:szCs w:val="24"/>
              </w:rPr>
              <w:t xml:space="preserve">A++ </w:t>
            </w:r>
            <w:r>
              <w:rPr>
                <w:rFonts w:hint="eastAsia" w:ascii="Times New Roman" w:hAnsi="Times New Roman"/>
                <w:szCs w:val="24"/>
              </w:rPr>
              <w:t>等，</w:t>
            </w:r>
            <w:r>
              <w:rPr>
                <w:rFonts w:ascii="Times New Roman" w:hAnsi="Times New Roman"/>
                <w:szCs w:val="24"/>
              </w:rPr>
              <w:t>SCI?</w:t>
            </w:r>
            <w:r>
              <w:rPr>
                <w:rFonts w:hint="eastAsia" w:ascii="Times New Roman" w:hAnsi="Times New Roman"/>
                <w:szCs w:val="24"/>
              </w:rPr>
              <w:t>区</w:t>
            </w:r>
          </w:p>
        </w:tc>
        <w:tc>
          <w:tcPr>
            <w:tcW w:w="709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期刊类别影响因子及排序</w:t>
            </w:r>
          </w:p>
        </w:tc>
        <w:tc>
          <w:tcPr>
            <w:tcW w:w="524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  <w:r>
              <w:rPr>
                <w:rFonts w:hint="eastAsia" w:ascii="宋体" w:hAnsi="Times New Roman"/>
                <w:sz w:val="20"/>
                <w:szCs w:val="20"/>
              </w:rPr>
              <w:t>他人引用次数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exact"/>
          <w:jc w:val="center"/>
        </w:trPr>
        <w:tc>
          <w:tcPr>
            <w:tcW w:w="38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Distributed feedbacks for time-delay signature Suppression of chaos generated from a semiconductor laser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IEEE Photonics Journal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vol. 4(5), pp. 1930-1935 (2012)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香港城市大学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SCI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1943-0655</w:t>
            </w:r>
          </w:p>
        </w:tc>
        <w:tc>
          <w:tcPr>
            <w:tcW w:w="992" w:type="dxa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A++,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三区</w:t>
            </w:r>
          </w:p>
        </w:tc>
        <w:tc>
          <w:tcPr>
            <w:tcW w:w="709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2.627</w:t>
            </w:r>
          </w:p>
        </w:tc>
        <w:tc>
          <w:tcPr>
            <w:tcW w:w="524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exact"/>
          <w:jc w:val="center"/>
        </w:trPr>
        <w:tc>
          <w:tcPr>
            <w:tcW w:w="38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Chaotic time-delay signature suppression in a semiconductor laser with frequency-detuned grating feedback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IEEE Journal of Selected Topics in Quantum Electronics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vol. 21(6), p. 1800812 (2015)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香港城市大学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SCI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1077-260X</w:t>
            </w:r>
          </w:p>
        </w:tc>
        <w:tc>
          <w:tcPr>
            <w:tcW w:w="992" w:type="dxa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A++,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二区</w:t>
            </w:r>
          </w:p>
        </w:tc>
        <w:tc>
          <w:tcPr>
            <w:tcW w:w="709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3.367</w:t>
            </w:r>
          </w:p>
        </w:tc>
        <w:tc>
          <w:tcPr>
            <w:tcW w:w="524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exact"/>
          <w:jc w:val="center"/>
        </w:trPr>
        <w:tc>
          <w:tcPr>
            <w:tcW w:w="38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Square-wave oscillations in a semiconductor ring laser subject to counter-directional delayed mutual feedback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Optics Letters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vol. 41(4), pp. 812-815 (2016)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香港城市大学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SCI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0146-9592</w:t>
            </w:r>
          </w:p>
        </w:tc>
        <w:tc>
          <w:tcPr>
            <w:tcW w:w="992" w:type="dxa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A++,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二区</w:t>
            </w:r>
          </w:p>
        </w:tc>
        <w:tc>
          <w:tcPr>
            <w:tcW w:w="709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589 </w:t>
            </w:r>
          </w:p>
        </w:tc>
        <w:tc>
          <w:tcPr>
            <w:tcW w:w="524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exact"/>
          <w:jc w:val="center"/>
        </w:trPr>
        <w:tc>
          <w:tcPr>
            <w:tcW w:w="38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Experimental investigation on feedback insensitivity in semiconductor ring lasers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Optics Letters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vol. 43(9), pp. 1974-1977 (2018)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香港城市大学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SCI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0146-9592</w:t>
            </w:r>
          </w:p>
        </w:tc>
        <w:tc>
          <w:tcPr>
            <w:tcW w:w="992" w:type="dxa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A++,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二区</w:t>
            </w:r>
          </w:p>
        </w:tc>
        <w:tc>
          <w:tcPr>
            <w:tcW w:w="709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589 </w:t>
            </w:r>
          </w:p>
        </w:tc>
        <w:tc>
          <w:tcPr>
            <w:tcW w:w="524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exact"/>
          <w:jc w:val="center"/>
        </w:trPr>
        <w:tc>
          <w:tcPr>
            <w:tcW w:w="38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Chaotic time-delay signature suppression with bandwidth broadening by fiber propagation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Optics Letters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vol. 43(19), pp. 4751-4754 (2018)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香港城市大学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SCI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0146-9592</w:t>
            </w:r>
          </w:p>
        </w:tc>
        <w:tc>
          <w:tcPr>
            <w:tcW w:w="992" w:type="dxa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A++,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二区</w:t>
            </w:r>
          </w:p>
        </w:tc>
        <w:tc>
          <w:tcPr>
            <w:tcW w:w="709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589 </w:t>
            </w:r>
          </w:p>
        </w:tc>
        <w:tc>
          <w:tcPr>
            <w:tcW w:w="524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spacing w:line="360" w:lineRule="auto"/>
        <w:ind w:firstLine="402" w:firstLineChars="200"/>
        <w:rPr>
          <w:rFonts w:ascii="Times New Roman" w:hAnsi="Times New Roman"/>
          <w:b/>
          <w:sz w:val="20"/>
          <w:szCs w:val="20"/>
        </w:rPr>
      </w:pPr>
    </w:p>
    <w:p>
      <w:pPr>
        <w:spacing w:line="360" w:lineRule="auto"/>
        <w:ind w:firstLine="482" w:firstLineChars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hint="eastAsia" w:ascii="Times New Roman" w:hAnsi="Times New Roman"/>
          <w:b/>
          <w:sz w:val="24"/>
          <w:szCs w:val="24"/>
        </w:rPr>
        <w:t>、科研项目</w:t>
      </w:r>
      <w:r>
        <w:rPr>
          <w:rFonts w:ascii="Times New Roman" w:hAnsi="Times New Roman"/>
          <w:b/>
          <w:sz w:val="24"/>
          <w:szCs w:val="24"/>
        </w:rPr>
        <w:t> :</w:t>
      </w:r>
    </w:p>
    <w:tbl>
      <w:tblPr>
        <w:tblStyle w:val="7"/>
        <w:tblW w:w="104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3210"/>
        <w:gridCol w:w="2977"/>
        <w:gridCol w:w="821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3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项目时间</w:t>
            </w:r>
          </w:p>
        </w:tc>
        <w:tc>
          <w:tcPr>
            <w:tcW w:w="3210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82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经费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参与状况（排序）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3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2013.1-2016.6</w:t>
            </w:r>
          </w:p>
        </w:tc>
        <w:tc>
          <w:tcPr>
            <w:tcW w:w="3210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光栅辅助式高速半导体激光器的非线性动力学研究</w:t>
            </w:r>
          </w:p>
        </w:tc>
        <w:tc>
          <w:tcPr>
            <w:tcW w:w="2977" w:type="dxa"/>
            <w:vAlign w:val="center"/>
          </w:tcPr>
          <w:p>
            <w:pPr>
              <w:ind w:right="101" w:rightChars="48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大学教育资助委员会（香港）优配研究金(GRF)</w:t>
            </w:r>
          </w:p>
        </w:tc>
        <w:tc>
          <w:tcPr>
            <w:tcW w:w="821" w:type="dxa"/>
            <w:vAlign w:val="center"/>
          </w:tcPr>
          <w:p>
            <w:pPr>
              <w:ind w:right="101" w:rightChars="48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参与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3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2012.5-2014.4</w:t>
            </w:r>
          </w:p>
        </w:tc>
        <w:tc>
          <w:tcPr>
            <w:tcW w:w="3210" w:type="dxa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半导体激光器混沌信号的非线性传送</w:t>
            </w:r>
          </w:p>
        </w:tc>
        <w:tc>
          <w:tcPr>
            <w:tcW w:w="2977" w:type="dxa"/>
            <w:vAlign w:val="center"/>
          </w:tcPr>
          <w:p>
            <w:pPr>
              <w:ind w:right="101" w:rightChars="48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香港城市大学战略性科研基金</w:t>
            </w:r>
          </w:p>
        </w:tc>
        <w:tc>
          <w:tcPr>
            <w:tcW w:w="821" w:type="dxa"/>
            <w:vAlign w:val="center"/>
          </w:tcPr>
          <w:p>
            <w:pPr>
              <w:ind w:right="101" w:rightChars="48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参与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3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2012.7-2014.6</w:t>
            </w:r>
          </w:p>
        </w:tc>
        <w:tc>
          <w:tcPr>
            <w:tcW w:w="3210" w:type="dxa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Investigations on nonlinear dynamics of semiconductor ring lasers</w:t>
            </w:r>
          </w:p>
        </w:tc>
        <w:tc>
          <w:tcPr>
            <w:tcW w:w="2977" w:type="dxa"/>
            <w:vAlign w:val="center"/>
          </w:tcPr>
          <w:p>
            <w:pPr>
              <w:ind w:right="101" w:rightChars="48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英国皇家学会国际交流基金</w:t>
            </w:r>
          </w:p>
        </w:tc>
        <w:tc>
          <w:tcPr>
            <w:tcW w:w="821" w:type="dxa"/>
            <w:vAlign w:val="center"/>
          </w:tcPr>
          <w:p>
            <w:pPr>
              <w:ind w:right="101" w:rightChars="48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参与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3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2016.1-2017.12</w:t>
            </w:r>
          </w:p>
        </w:tc>
        <w:tc>
          <w:tcPr>
            <w:tcW w:w="3210" w:type="dxa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Investigations on semiconductor ring lasers under optical feedback</w:t>
            </w:r>
          </w:p>
        </w:tc>
        <w:tc>
          <w:tcPr>
            <w:tcW w:w="2977" w:type="dxa"/>
            <w:vAlign w:val="center"/>
          </w:tcPr>
          <w:p>
            <w:pPr>
              <w:ind w:right="101" w:rightChars="48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英国皇家学会国际交流基金</w:t>
            </w:r>
          </w:p>
        </w:tc>
        <w:tc>
          <w:tcPr>
            <w:tcW w:w="821" w:type="dxa"/>
            <w:vAlign w:val="center"/>
          </w:tcPr>
          <w:p>
            <w:pPr>
              <w:ind w:right="101" w:rightChars="48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参与</w:t>
            </w:r>
          </w:p>
        </w:tc>
      </w:tr>
    </w:tbl>
    <w:p>
      <w:pPr>
        <w:spacing w:line="360" w:lineRule="auto"/>
        <w:ind w:firstLine="482" w:firstLineChars="200"/>
        <w:rPr>
          <w:rFonts w:ascii="宋体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hint="eastAsia" w:ascii="Times New Roman" w:hAnsi="Times New Roman"/>
          <w:b/>
          <w:sz w:val="24"/>
          <w:szCs w:val="24"/>
        </w:rPr>
        <w:t>、</w:t>
      </w:r>
      <w:r>
        <w:rPr>
          <w:rFonts w:hint="eastAsia" w:ascii="宋体" w:hAnsi="宋体"/>
          <w:b/>
          <w:color w:val="000000"/>
          <w:sz w:val="24"/>
          <w:szCs w:val="24"/>
        </w:rPr>
        <w:t>获奖情况：</w:t>
      </w:r>
    </w:p>
    <w:tbl>
      <w:tblPr>
        <w:tblStyle w:val="7"/>
        <w:tblW w:w="1043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3980"/>
        <w:gridCol w:w="3090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3980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名称</w:t>
            </w:r>
          </w:p>
        </w:tc>
        <w:tc>
          <w:tcPr>
            <w:tcW w:w="3090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奖项与等级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排序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3980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Best Presenter Award in EE Student Research Symposium</w:t>
            </w:r>
          </w:p>
        </w:tc>
        <w:tc>
          <w:tcPr>
            <w:tcW w:w="3090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香港城市大学</w:t>
            </w:r>
          </w:p>
        </w:tc>
        <w:tc>
          <w:tcPr>
            <w:tcW w:w="1843" w:type="dxa"/>
            <w:vAlign w:val="center"/>
          </w:tcPr>
          <w:p>
            <w:pPr>
              <w:ind w:right="101" w:rightChars="48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3980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Outstanding Academic Performance Award</w:t>
            </w:r>
          </w:p>
        </w:tc>
        <w:tc>
          <w:tcPr>
            <w:tcW w:w="3090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香港城市大学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3980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Outstanding Academic Performance Award</w:t>
            </w:r>
          </w:p>
        </w:tc>
        <w:tc>
          <w:tcPr>
            <w:tcW w:w="3090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香港城市大学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/>
    <w:p>
      <w:pPr>
        <w:rPr>
          <w:szCs w:val="21"/>
        </w:rPr>
      </w:pPr>
    </w:p>
    <w:p>
      <w:pPr>
        <w:spacing w:line="360" w:lineRule="auto"/>
        <w:ind w:left="4" w:leftChars="-495" w:hanging="1043" w:hangingChars="433"/>
        <w:rPr>
          <w:rFonts w:hint="eastAsia" w:ascii="Times New Roman" w:hAnsi="Times New Roman"/>
          <w:b/>
          <w:sz w:val="24"/>
          <w:szCs w:val="24"/>
          <w:lang w:eastAsia="zh-CN"/>
        </w:rPr>
      </w:pPr>
      <w:r>
        <w:rPr>
          <w:rFonts w:hint="eastAsia" w:ascii="Times New Roman" w:hAnsi="Times New Roman"/>
          <w:b/>
          <w:sz w:val="24"/>
          <w:szCs w:val="24"/>
          <w:lang w:eastAsia="zh-CN"/>
        </w:rPr>
        <w:t>应聘人员二：</w:t>
      </w:r>
    </w:p>
    <w:p>
      <w:pPr>
        <w:spacing w:line="360" w:lineRule="auto"/>
        <w:ind w:firstLine="241" w:firstLineChars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hint="eastAsia" w:ascii="Times New Roman" w:hAnsi="Times New Roman"/>
          <w:b/>
          <w:sz w:val="24"/>
          <w:szCs w:val="24"/>
        </w:rPr>
        <w:t>、基本情况</w:t>
      </w:r>
    </w:p>
    <w:tbl>
      <w:tblPr>
        <w:tblStyle w:val="7"/>
        <w:tblW w:w="10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2067"/>
        <w:gridCol w:w="1417"/>
        <w:gridCol w:w="1913"/>
        <w:gridCol w:w="1417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国籍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中国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山东省威海市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现任专业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技术职务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任职时间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2015年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4月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</w:rPr>
              <w:t>986年</w:t>
            </w:r>
            <w:r>
              <w:rPr>
                <w:rFonts w:hint="eastAsia" w:ascii="Times New Roman" w:hAnsi="Times New Roman"/>
                <w:color w:val="000000"/>
                <w:szCs w:val="24"/>
              </w:rPr>
              <w:t>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现工作单位或人事关系所在部门</w:t>
            </w:r>
          </w:p>
        </w:tc>
        <w:tc>
          <w:tcPr>
            <w:tcW w:w="8479" w:type="dxa"/>
            <w:gridSpan w:val="5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中国电子科技集团有限公司第</w:t>
            </w:r>
            <w:r>
              <w:rPr>
                <w:rFonts w:hint="eastAsia"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XX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最后学位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授予学位单位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西安电子科技大学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最后学习阶段导师</w:t>
            </w:r>
          </w:p>
        </w:tc>
        <w:tc>
          <w:tcPr>
            <w:tcW w:w="1665" w:type="dxa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李建东教授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杨小牛院士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国内外主要学术及社会兼职</w:t>
            </w:r>
          </w:p>
        </w:tc>
        <w:tc>
          <w:tcPr>
            <w:tcW w:w="539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Cs w:val="21"/>
              </w:rPr>
              <w:t>《IEEE Transactions on Wireless Communications》、《IEEE Transactions on Communications》、《IEEE Transactions on Vehicular Technology》、《IEEE Wireless Communications Letters》</w:t>
            </w:r>
            <w:r>
              <w:rPr>
                <w:rFonts w:hint="eastAsia" w:ascii="Times New Roman" w:hAnsi="Times New Roman" w:eastAsia="仿宋_GB2312"/>
                <w:szCs w:val="21"/>
              </w:rPr>
              <w:t>等期刊审稿人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从事专业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通信网络设计与性能优化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0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主要学术成绩、创新成果及评价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（限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字以内）</w:t>
            </w:r>
          </w:p>
        </w:tc>
        <w:tc>
          <w:tcPr>
            <w:tcW w:w="8479" w:type="dxa"/>
            <w:gridSpan w:val="5"/>
            <w:vAlign w:val="center"/>
          </w:tcPr>
          <w:p>
            <w:pPr>
              <w:ind w:firstLine="400" w:firstLineChars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个人主要研究方向：</w:t>
            </w:r>
            <w:r>
              <w:rPr>
                <w:rFonts w:ascii="Times New Roman" w:hAnsi="Times New Roman"/>
                <w:sz w:val="20"/>
                <w:szCs w:val="20"/>
              </w:rPr>
              <w:t>通信网络MAC层与物理层设计与性能优化</w:t>
            </w:r>
            <w:r>
              <w:rPr>
                <w:rFonts w:hint="eastAsia" w:ascii="Times New Roman" w:hAnsi="Times New Roman"/>
                <w:sz w:val="20"/>
                <w:szCs w:val="20"/>
              </w:rPr>
              <w:t>、</w:t>
            </w:r>
            <w:r>
              <w:rPr>
                <w:rFonts w:ascii="Times New Roman" w:hAnsi="Times New Roman"/>
                <w:sz w:val="20"/>
                <w:szCs w:val="20"/>
              </w:rPr>
              <w:t>动态系统自适应控制</w:t>
            </w:r>
          </w:p>
          <w:p>
            <w:pPr>
              <w:ind w:firstLine="400" w:firstLineChars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主持</w:t>
            </w:r>
            <w:r>
              <w:rPr>
                <w:rFonts w:ascii="Times New Roman" w:hAnsi="Times New Roman"/>
                <w:sz w:val="20"/>
                <w:szCs w:val="20"/>
              </w:rPr>
              <w:t>XXX</w:t>
            </w:r>
            <w:r>
              <w:rPr>
                <w:rFonts w:hint="eastAsia" w:ascii="Times New Roman" w:hAnsi="Times New Roman"/>
                <w:sz w:val="20"/>
                <w:szCs w:val="20"/>
              </w:rPr>
              <w:t>科研项目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/>
                <w:sz w:val="20"/>
                <w:szCs w:val="20"/>
              </w:rPr>
              <w:t>项，参研国家重点基础研究发展计划（973）项目一项，国家自然基金重点项目一项。</w:t>
            </w:r>
          </w:p>
          <w:p>
            <w:pPr>
              <w:autoSpaceDE w:val="0"/>
              <w:autoSpaceDN w:val="0"/>
              <w:adjustRightInd w:val="0"/>
              <w:ind w:firstLine="400" w:firstLineChars="200"/>
              <w:jc w:val="left"/>
              <w:rPr>
                <w:rFonts w:ascii="Times New Roman" w:hAnsi="Times New Roman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 xml:space="preserve">1. 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面向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XXX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通信系统，从天线、中射频、物理层信号处理、MAC层组网控制维度统筹优化，完成了系统性能指标分解、软硬件及接口方案设计、信号处理及组网控制算法研究，仿真测试及验证环境构建，组织完成了原</w:t>
            </w: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型样机开发及外场试验；</w:t>
            </w:r>
          </w:p>
          <w:p>
            <w:pPr>
              <w:autoSpaceDE w:val="0"/>
              <w:autoSpaceDN w:val="0"/>
              <w:adjustRightInd w:val="0"/>
              <w:ind w:firstLine="400" w:firstLineChars="200"/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2.</w:t>
            </w: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 xml:space="preserve"> 针对干扰受限动态网络的最优功率控制及网络资源调度问题，通过设计自适应网络资源管控方案，解决了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LTE-A</w:t>
            </w: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网络中功率、资源块及时隙的最优动态联合控制问题，有效提升了网络吞吐量；</w:t>
            </w:r>
          </w:p>
          <w:p>
            <w:pPr>
              <w:autoSpaceDE w:val="0"/>
              <w:autoSpaceDN w:val="0"/>
              <w:adjustRightInd w:val="0"/>
              <w:ind w:firstLine="400" w:firstLineChars="200"/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Arial"/>
                <w:kern w:val="0"/>
                <w:sz w:val="20"/>
                <w:szCs w:val="20"/>
              </w:rPr>
              <w:t>3.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 w:cs="Arial"/>
                <w:kern w:val="0"/>
                <w:sz w:val="20"/>
                <w:szCs w:val="20"/>
              </w:rPr>
              <w:t>针对干扰受限及正交性网络等多网并存的异构网络场景，基于接入网、功率、时间、频率维度的网络资源，提出了基于异构网络增益的网络融合方案，通过优化用户传输机制，设计异构网络自适应管控方案，分析了网络性能边界，较好地解决了干扰受限网络和正交性网络的融合问题。</w:t>
            </w:r>
          </w:p>
          <w:p>
            <w:pPr>
              <w:ind w:firstLine="400" w:firstLineChars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以上成果发表学术论文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/>
                <w:sz w:val="20"/>
                <w:szCs w:val="20"/>
              </w:rPr>
              <w:t>篇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/>
                <w:sz w:val="20"/>
                <w:szCs w:val="20"/>
              </w:rPr>
              <w:t>第一或通讯作者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/>
                <w:sz w:val="20"/>
                <w:szCs w:val="20"/>
              </w:rPr>
              <w:t>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，其中</w:t>
            </w:r>
            <w:r>
              <w:rPr>
                <w:rFonts w:ascii="Times New Roman" w:hAnsi="Times New Roman"/>
                <w:sz w:val="20"/>
                <w:szCs w:val="20"/>
              </w:rPr>
              <w:t>SCI</w:t>
            </w:r>
            <w:r>
              <w:rPr>
                <w:rFonts w:hint="eastAsia" w:ascii="Times New Roman" w:hAnsi="Times New Roman"/>
                <w:sz w:val="20"/>
                <w:szCs w:val="20"/>
              </w:rPr>
              <w:t>收录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/>
                <w:sz w:val="20"/>
                <w:szCs w:val="20"/>
              </w:rPr>
              <w:t>篇、</w:t>
            </w:r>
            <w:r>
              <w:rPr>
                <w:rFonts w:ascii="Times New Roman" w:hAnsi="Times New Roman"/>
                <w:sz w:val="20"/>
                <w:szCs w:val="20"/>
              </w:rPr>
              <w:t>EI</w:t>
            </w:r>
            <w:r>
              <w:rPr>
                <w:rFonts w:hint="eastAsia" w:ascii="Times New Roman" w:hAnsi="Times New Roman"/>
                <w:sz w:val="20"/>
                <w:szCs w:val="20"/>
              </w:rPr>
              <w:t>收录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/>
                <w:sz w:val="20"/>
                <w:szCs w:val="20"/>
              </w:rPr>
              <w:t>篇（</w:t>
            </w:r>
            <w:r>
              <w:rPr>
                <w:rFonts w:ascii="Times New Roman" w:hAnsi="Times New Roman"/>
                <w:sz w:val="20"/>
                <w:szCs w:val="20"/>
              </w:rPr>
              <w:t>SCI</w:t>
            </w:r>
            <w:r>
              <w:rPr>
                <w:rFonts w:hint="eastAsia" w:ascii="Times New Roman" w:hAnsi="Times New Roman"/>
                <w:sz w:val="20"/>
                <w:szCs w:val="20"/>
              </w:rPr>
              <w:t>与</w:t>
            </w:r>
            <w:r>
              <w:rPr>
                <w:rFonts w:ascii="Times New Roman" w:hAnsi="Times New Roman"/>
                <w:sz w:val="20"/>
                <w:szCs w:val="20"/>
              </w:rPr>
              <w:t>EI</w:t>
            </w:r>
            <w:r>
              <w:rPr>
                <w:rFonts w:hint="eastAsia" w:ascii="Times New Roman" w:hAnsi="Times New Roman"/>
                <w:sz w:val="20"/>
                <w:szCs w:val="20"/>
              </w:rPr>
              <w:t>论文不重复计算），</w:t>
            </w:r>
            <w:r>
              <w:rPr>
                <w:rFonts w:ascii="Times New Roman" w:hAnsi="Times New Roman"/>
                <w:sz w:val="20"/>
                <w:szCs w:val="20"/>
              </w:rPr>
              <w:t>SCI</w:t>
            </w:r>
            <w:r>
              <w:rPr>
                <w:rFonts w:hint="eastAsia" w:ascii="Times New Roman" w:hAnsi="Times New Roman"/>
                <w:sz w:val="20"/>
                <w:szCs w:val="20"/>
              </w:rPr>
              <w:t>他人引用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hint="eastAsia" w:ascii="Times New Roman" w:hAnsi="Times New Roman"/>
                <w:sz w:val="20"/>
                <w:szCs w:val="20"/>
              </w:rPr>
              <w:t>次（国内外同行评价，提供支撑材料）；受理国防专利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/>
                <w:sz w:val="20"/>
                <w:szCs w:val="20"/>
              </w:rPr>
              <w:t>项。</w:t>
            </w:r>
          </w:p>
          <w:p>
            <w:pPr>
              <w:ind w:firstLine="300" w:firstLineChars="15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sz w:val="20"/>
                <w:szCs w:val="20"/>
              </w:rPr>
              <w:t>明确：第一作者或通信作者论文：</w:t>
            </w:r>
            <w:r>
              <w:rPr>
                <w:rFonts w:ascii="Times New Roman" w:hAnsi="Times New Roman"/>
                <w:sz w:val="20"/>
                <w:szCs w:val="20"/>
              </w:rPr>
              <w:t>A++</w:t>
            </w:r>
            <w:r>
              <w:rPr>
                <w:rFonts w:hint="eastAsia" w:ascii="Times New Roman" w:hAnsi="Times New Roman"/>
                <w:sz w:val="20"/>
                <w:szCs w:val="20"/>
                <w:u w:val="single"/>
              </w:rPr>
              <w:t>　2　</w:t>
            </w:r>
            <w:r>
              <w:rPr>
                <w:rFonts w:hint="eastAsia" w:ascii="Times New Roman" w:hAnsi="Times New Roman"/>
                <w:sz w:val="20"/>
                <w:szCs w:val="20"/>
              </w:rPr>
              <w:t>篇；</w:t>
            </w:r>
            <w:r>
              <w:rPr>
                <w:rFonts w:ascii="Times New Roman" w:hAnsi="Times New Roman"/>
                <w:sz w:val="20"/>
                <w:szCs w:val="20"/>
              </w:rPr>
              <w:t>A+</w:t>
            </w:r>
            <w:r>
              <w:rPr>
                <w:rFonts w:hint="eastAsia" w:ascii="Times New Roman" w:hAnsi="Times New Roman"/>
                <w:sz w:val="20"/>
                <w:szCs w:val="20"/>
                <w:u w:val="single"/>
              </w:rPr>
              <w:t>　2　</w:t>
            </w:r>
            <w:r>
              <w:rPr>
                <w:rFonts w:hint="eastAsia" w:ascii="Times New Roman" w:hAnsi="Times New Roman"/>
                <w:sz w:val="20"/>
                <w:szCs w:val="20"/>
              </w:rPr>
              <w:t>篇。</w:t>
            </w:r>
          </w:p>
        </w:tc>
      </w:tr>
    </w:tbl>
    <w:p>
      <w:pPr>
        <w:spacing w:line="360" w:lineRule="auto"/>
        <w:ind w:firstLine="361" w:firstLineChars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hint="eastAsia" w:ascii="Times New Roman" w:hAnsi="Times New Roman"/>
          <w:b/>
          <w:sz w:val="24"/>
          <w:szCs w:val="24"/>
        </w:rPr>
        <w:t>、学习经历</w:t>
      </w:r>
    </w:p>
    <w:tbl>
      <w:tblPr>
        <w:tblStyle w:val="7"/>
        <w:tblW w:w="10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2012"/>
        <w:gridCol w:w="2013"/>
        <w:gridCol w:w="2024"/>
        <w:gridCol w:w="177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学历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/>
                <w:sz w:val="20"/>
                <w:szCs w:val="20"/>
              </w:rPr>
              <w:t>学位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起止时间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毕业学校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所学专业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导师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本科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2005.09-2009.07</w:t>
            </w:r>
          </w:p>
        </w:tc>
        <w:tc>
          <w:tcPr>
            <w:tcW w:w="2013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西安电子科技大学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通信工程</w:t>
            </w:r>
          </w:p>
        </w:tc>
        <w:tc>
          <w:tcPr>
            <w:tcW w:w="1770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博士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2009.09-2014.09</w:t>
            </w:r>
          </w:p>
        </w:tc>
        <w:tc>
          <w:tcPr>
            <w:tcW w:w="2013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西安电子科技大学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通信与信息系统</w:t>
            </w:r>
          </w:p>
        </w:tc>
        <w:tc>
          <w:tcPr>
            <w:tcW w:w="1770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李建东教授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杨小牛院士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2011.09-2012.08</w:t>
            </w:r>
          </w:p>
        </w:tc>
        <w:tc>
          <w:tcPr>
            <w:tcW w:w="2013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多伦多大学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通信与信息系统</w:t>
            </w:r>
          </w:p>
        </w:tc>
        <w:tc>
          <w:tcPr>
            <w:tcW w:w="1770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 Liang教授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联合培养</w:t>
            </w:r>
          </w:p>
        </w:tc>
      </w:tr>
    </w:tbl>
    <w:p>
      <w:pPr>
        <w:spacing w:line="360" w:lineRule="auto"/>
        <w:ind w:left="239" w:leftChars="114" w:firstLine="120" w:firstLineChars="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hint="eastAsia" w:ascii="Times New Roman" w:hAnsi="Times New Roman"/>
          <w:b/>
          <w:sz w:val="24"/>
          <w:szCs w:val="24"/>
        </w:rPr>
        <w:t>、工作经历</w:t>
      </w:r>
    </w:p>
    <w:tbl>
      <w:tblPr>
        <w:tblStyle w:val="7"/>
        <w:tblW w:w="10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4"/>
        <w:gridCol w:w="2526"/>
        <w:gridCol w:w="4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4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起止时间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职位名称</w:t>
            </w:r>
          </w:p>
        </w:tc>
        <w:tc>
          <w:tcPr>
            <w:tcW w:w="44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任职单位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34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014.10至今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工程师</w:t>
            </w:r>
          </w:p>
        </w:tc>
        <w:tc>
          <w:tcPr>
            <w:tcW w:w="4420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中国电子科技集团有限公司第</w:t>
            </w:r>
            <w:r>
              <w:rPr>
                <w:rFonts w:hint="eastAsia"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XX研究所</w:t>
            </w:r>
          </w:p>
        </w:tc>
      </w:tr>
    </w:tbl>
    <w:p>
      <w:pPr>
        <w:spacing w:line="360" w:lineRule="auto"/>
        <w:ind w:left="239" w:leftChars="114" w:firstLine="120" w:firstLineChars="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hint="eastAsia" w:ascii="Times New Roman" w:hAnsi="Times New Roman"/>
          <w:b/>
          <w:sz w:val="24"/>
          <w:szCs w:val="24"/>
        </w:rPr>
        <w:t>、论文情况（</w:t>
      </w:r>
      <w:r>
        <w:rPr>
          <w:rFonts w:ascii="Times New Roman" w:hAnsi="Times New Roman"/>
          <w:b/>
          <w:szCs w:val="24"/>
        </w:rPr>
        <w:t>5</w:t>
      </w:r>
      <w:r>
        <w:rPr>
          <w:rFonts w:hint="eastAsia" w:ascii="Times New Roman" w:hAnsi="Times New Roman"/>
          <w:b/>
          <w:szCs w:val="24"/>
        </w:rPr>
        <w:t>篇以内代表性论文）</w:t>
      </w:r>
      <w:r>
        <w:rPr>
          <w:rFonts w:hint="eastAsia" w:ascii="Times New Roman" w:hAnsi="Times New Roman"/>
          <w:b/>
          <w:sz w:val="24"/>
          <w:szCs w:val="24"/>
        </w:rPr>
        <w:t>：</w:t>
      </w:r>
    </w:p>
    <w:tbl>
      <w:tblPr>
        <w:tblStyle w:val="7"/>
        <w:tblW w:w="104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446"/>
        <w:gridCol w:w="1528"/>
        <w:gridCol w:w="897"/>
        <w:gridCol w:w="977"/>
        <w:gridCol w:w="1306"/>
        <w:gridCol w:w="1105"/>
        <w:gridCol w:w="942"/>
        <w:gridCol w:w="757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号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题目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发表刊物或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出版单位名称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年度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期号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作者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排名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第一作者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单位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刊物性质及期刊号</w:t>
            </w:r>
          </w:p>
        </w:tc>
        <w:tc>
          <w:tcPr>
            <w:tcW w:w="942" w:type="dxa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论文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分区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（学术期刊分级</w:t>
            </w:r>
            <w:r>
              <w:rPr>
                <w:rFonts w:ascii="Times New Roman" w:hAnsi="Times New Roman"/>
                <w:szCs w:val="24"/>
              </w:rPr>
              <w:t xml:space="preserve">A++ </w:t>
            </w:r>
            <w:r>
              <w:rPr>
                <w:rFonts w:hint="eastAsia" w:ascii="Times New Roman" w:hAnsi="Times New Roman"/>
                <w:szCs w:val="24"/>
              </w:rPr>
              <w:t>等，</w:t>
            </w:r>
            <w:r>
              <w:rPr>
                <w:rFonts w:ascii="Times New Roman" w:hAnsi="Times New Roman"/>
                <w:szCs w:val="24"/>
              </w:rPr>
              <w:t>SCI?</w:t>
            </w:r>
            <w:r>
              <w:rPr>
                <w:rFonts w:hint="eastAsia" w:ascii="Times New Roman" w:hAnsi="Times New Roman"/>
                <w:szCs w:val="24"/>
              </w:rPr>
              <w:t>区</w:t>
            </w: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期刊类别影响因子及排序</w:t>
            </w: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他人引用次数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Adaptive Cross-Network Cross-Layer Design in Heterogeneous Wireless Networks</w:t>
            </w:r>
          </w:p>
        </w:tc>
        <w:tc>
          <w:tcPr>
            <w:tcW w:w="1528" w:type="dxa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IEEE Transactions on Wireless Communications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015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(02)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西安电子科技大学</w:t>
            </w:r>
          </w:p>
        </w:tc>
        <w:tc>
          <w:tcPr>
            <w:tcW w:w="1105" w:type="dxa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1536-1276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A+</w:t>
            </w:r>
            <w:r>
              <w:rPr>
                <w:rFonts w:hint="eastAsia"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， SCI 2区</w:t>
            </w: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工程技术，5</w:t>
            </w:r>
            <w:r>
              <w:rPr>
                <w:rFonts w:ascii="Times New Roman" w:hAnsi="Times New Roman"/>
                <w:sz w:val="20"/>
                <w:szCs w:val="20"/>
              </w:rPr>
              <w:t>.888</w:t>
            </w: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Dynamic Joint Resource Optimization for LTE-Advanced Relay Networks</w:t>
            </w:r>
          </w:p>
        </w:tc>
        <w:tc>
          <w:tcPr>
            <w:tcW w:w="152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IEEE Transactions on Wireless Communications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013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(11)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西安电子科技大学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1536-1276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A+</w:t>
            </w:r>
            <w:r>
              <w:rPr>
                <w:rFonts w:hint="eastAsia"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， SCI 2区</w:t>
            </w: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工程技术，5.888</w:t>
            </w: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Dynamic Power Allocation for Throughput Utility Maximization in Interference-Limited Networks</w:t>
            </w:r>
          </w:p>
        </w:tc>
        <w:tc>
          <w:tcPr>
            <w:tcW w:w="152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IEEE Wireless Communications Letters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013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(02)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西安电子科技大学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2162-2345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A+， SCI 2区</w:t>
            </w: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工程技术，</w:t>
            </w:r>
            <w:r>
              <w:rPr>
                <w:rFonts w:ascii="Times New Roman" w:hAnsi="Times New Roman"/>
                <w:sz w:val="20"/>
                <w:szCs w:val="20"/>
              </w:rPr>
              <w:t>3.096</w:t>
            </w: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Exploiting Transmission Opportunities in Heterogeneous Wireless Networks: A Transmission Power Saving Perspective</w:t>
            </w:r>
          </w:p>
        </w:tc>
        <w:tc>
          <w:tcPr>
            <w:tcW w:w="152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SCIENCE CHINA Information Sciences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014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(02)</w:t>
            </w:r>
          </w:p>
        </w:tc>
        <w:tc>
          <w:tcPr>
            <w:tcW w:w="977" w:type="dxa"/>
            <w:vAlign w:val="center"/>
          </w:tcPr>
          <w:p>
            <w:pPr>
              <w:ind w:firstLine="100" w:firstLineChars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西安电子科技大学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1674-7267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A+， SCI 2区</w:t>
            </w: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工程技术，</w:t>
            </w:r>
            <w:r>
              <w:rPr>
                <w:rFonts w:ascii="Times New Roman" w:hAnsi="Times New Roman" w:eastAsia="仿宋_GB2312"/>
                <w:szCs w:val="21"/>
              </w:rPr>
              <w:t>2.188</w:t>
            </w: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Exploiting Multiple Access Points Diversity Gain in the Multi-Access Wireless Network</w:t>
            </w:r>
          </w:p>
        </w:tc>
        <w:tc>
          <w:tcPr>
            <w:tcW w:w="152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IEEE 24th International Symposium on Personal, Indoor and Mobile Radio Communications (PIMRC)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013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(12)</w:t>
            </w:r>
          </w:p>
        </w:tc>
        <w:tc>
          <w:tcPr>
            <w:tcW w:w="977" w:type="dxa"/>
            <w:vAlign w:val="center"/>
          </w:tcPr>
          <w:p>
            <w:pPr>
              <w:ind w:firstLine="100" w:firstLineChars="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西安电子科技大学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EI</w:t>
            </w: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工程技术</w:t>
            </w: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spacing w:line="360" w:lineRule="auto"/>
        <w:ind w:firstLine="482" w:firstLineChars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hint="eastAsia" w:ascii="Times New Roman" w:hAnsi="Times New Roman"/>
          <w:b/>
          <w:sz w:val="24"/>
          <w:szCs w:val="24"/>
        </w:rPr>
        <w:t>、科研项目</w:t>
      </w:r>
      <w:r>
        <w:rPr>
          <w:rFonts w:ascii="Times New Roman" w:hAnsi="Times New Roman"/>
          <w:b/>
          <w:sz w:val="24"/>
          <w:szCs w:val="24"/>
        </w:rPr>
        <w:t> :</w:t>
      </w:r>
    </w:p>
    <w:tbl>
      <w:tblPr>
        <w:tblStyle w:val="7"/>
        <w:tblW w:w="104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3169"/>
        <w:gridCol w:w="2365"/>
        <w:gridCol w:w="1241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项目时间</w:t>
            </w:r>
          </w:p>
        </w:tc>
        <w:tc>
          <w:tcPr>
            <w:tcW w:w="3169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365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经费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参与状况（排序）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016.03至今</w:t>
            </w:r>
          </w:p>
        </w:tc>
        <w:tc>
          <w:tcPr>
            <w:tcW w:w="3169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XXX</w:t>
            </w:r>
            <w:r>
              <w:rPr>
                <w:rFonts w:hint="eastAsia" w:ascii="Times New Roman" w:hAnsi="Times New Roman" w:cs="宋体"/>
                <w:sz w:val="20"/>
                <w:szCs w:val="20"/>
              </w:rPr>
              <w:t>组网关键技术研究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xxx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一体化关键技术研究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xxx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一体化关键技术研究</w:t>
            </w:r>
          </w:p>
        </w:tc>
        <w:tc>
          <w:tcPr>
            <w:tcW w:w="2365" w:type="dxa"/>
          </w:tcPr>
          <w:p>
            <w:pPr>
              <w:ind w:right="101" w:rightChars="4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XXX</w:t>
            </w:r>
          </w:p>
        </w:tc>
        <w:tc>
          <w:tcPr>
            <w:tcW w:w="1241" w:type="dxa"/>
          </w:tcPr>
          <w:p>
            <w:pPr>
              <w:ind w:right="101" w:rightChars="4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420万元</w:t>
            </w:r>
          </w:p>
        </w:tc>
        <w:tc>
          <w:tcPr>
            <w:tcW w:w="1843" w:type="dxa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主持（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015.06-2016.02</w:t>
            </w:r>
          </w:p>
        </w:tc>
        <w:tc>
          <w:tcPr>
            <w:tcW w:w="3169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XXX</w:t>
            </w:r>
            <w:r>
              <w:rPr>
                <w:rFonts w:hint="eastAsia" w:ascii="Times New Roman" w:hAnsi="Times New Roman"/>
                <w:sz w:val="20"/>
                <w:szCs w:val="20"/>
              </w:rPr>
              <w:t>网络化融合技术研究</w:t>
            </w:r>
          </w:p>
        </w:tc>
        <w:tc>
          <w:tcPr>
            <w:tcW w:w="2365" w:type="dxa"/>
          </w:tcPr>
          <w:p>
            <w:pPr>
              <w:ind w:right="101" w:rightChars="4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XXX</w:t>
            </w:r>
          </w:p>
        </w:tc>
        <w:tc>
          <w:tcPr>
            <w:tcW w:w="1241" w:type="dxa"/>
          </w:tcPr>
          <w:p>
            <w:pPr>
              <w:ind w:right="101" w:rightChars="4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0万元</w:t>
            </w:r>
          </w:p>
        </w:tc>
        <w:tc>
          <w:tcPr>
            <w:tcW w:w="1843" w:type="dxa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主持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（1）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013.01-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017.12</w:t>
            </w:r>
          </w:p>
        </w:tc>
        <w:tc>
          <w:tcPr>
            <w:tcW w:w="3169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无线网络的干扰管理与容量研究</w:t>
            </w:r>
          </w:p>
        </w:tc>
        <w:tc>
          <w:tcPr>
            <w:tcW w:w="2365" w:type="dxa"/>
          </w:tcPr>
          <w:p>
            <w:pPr>
              <w:ind w:right="101" w:rightChars="4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国家自然科学基金重点项目</w:t>
            </w:r>
          </w:p>
        </w:tc>
        <w:tc>
          <w:tcPr>
            <w:tcW w:w="1241" w:type="dxa"/>
            <w:vAlign w:val="center"/>
          </w:tcPr>
          <w:p>
            <w:pPr>
              <w:ind w:right="101" w:rightChars="4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70万元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参研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009.01-2013.12</w:t>
            </w:r>
          </w:p>
        </w:tc>
        <w:tc>
          <w:tcPr>
            <w:tcW w:w="3169" w:type="dxa"/>
          </w:tcPr>
          <w:p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智能的动态网络资源管理模型与控制机制研究</w:t>
            </w:r>
          </w:p>
        </w:tc>
        <w:tc>
          <w:tcPr>
            <w:tcW w:w="2365" w:type="dxa"/>
            <w:vAlign w:val="center"/>
          </w:tcPr>
          <w:p>
            <w:pPr>
              <w:ind w:right="101" w:rightChars="4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973计划</w:t>
            </w:r>
          </w:p>
        </w:tc>
        <w:tc>
          <w:tcPr>
            <w:tcW w:w="1241" w:type="dxa"/>
            <w:vAlign w:val="center"/>
          </w:tcPr>
          <w:p>
            <w:pPr>
              <w:ind w:right="101" w:rightChars="48"/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\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参研</w:t>
            </w:r>
          </w:p>
        </w:tc>
      </w:tr>
    </w:tbl>
    <w:p>
      <w:pPr>
        <w:spacing w:line="360" w:lineRule="auto"/>
        <w:ind w:firstLine="482" w:firstLineChars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hint="eastAsia" w:ascii="Times New Roman" w:hAnsi="Times New Roman"/>
          <w:b/>
          <w:sz w:val="24"/>
          <w:szCs w:val="24"/>
          <w:lang w:eastAsia="zh-CN"/>
        </w:rPr>
        <w:t>、</w:t>
      </w:r>
      <w:r>
        <w:rPr>
          <w:rFonts w:hint="eastAsia" w:ascii="Times New Roman" w:hAnsi="Times New Roman"/>
          <w:b/>
          <w:sz w:val="24"/>
          <w:szCs w:val="24"/>
        </w:rPr>
        <w:t>专利情况</w:t>
      </w:r>
    </w:p>
    <w:tbl>
      <w:tblPr>
        <w:tblStyle w:val="7"/>
        <w:tblpPr w:leftFromText="180" w:rightFromText="180" w:vertAnchor="text" w:horzAnchor="page" w:tblpX="947" w:tblpY="508"/>
        <w:tblOverlap w:val="never"/>
        <w:tblW w:w="10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260"/>
        <w:gridCol w:w="1701"/>
        <w:gridCol w:w="1276"/>
        <w:gridCol w:w="1275"/>
        <w:gridCol w:w="1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专利类别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专利名称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专利所有人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授权时间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授权国别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专利号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国防专利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</w:t>
            </w:r>
            <w:r>
              <w:rPr>
                <w:rFonts w:hint="eastAsia" w:ascii="Times New Roman" w:hAnsi="Times New Roman"/>
                <w:sz w:val="20"/>
                <w:szCs w:val="20"/>
              </w:rPr>
              <w:t>一种适用于</w:t>
            </w:r>
            <w:r>
              <w:rPr>
                <w:rFonts w:ascii="Times New Roman" w:hAnsi="Times New Roman"/>
                <w:sz w:val="20"/>
                <w:szCs w:val="20"/>
              </w:rPr>
              <w:t>XXX</w:t>
            </w:r>
            <w:r>
              <w:rPr>
                <w:rFonts w:hint="eastAsia" w:ascii="Times New Roman" w:hAnsi="Times New Roman"/>
                <w:sz w:val="20"/>
                <w:szCs w:val="20"/>
              </w:rPr>
              <w:t>方法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在审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中国</w:t>
            </w:r>
          </w:p>
        </w:tc>
        <w:tc>
          <w:tcPr>
            <w:tcW w:w="1807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XXX(受理号)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国防专利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</w:t>
            </w:r>
            <w:r>
              <w:rPr>
                <w:rFonts w:hint="eastAsia" w:ascii="Times New Roman" w:hAnsi="Times New Roman"/>
                <w:sz w:val="20"/>
                <w:szCs w:val="20"/>
              </w:rPr>
              <w:t>一种适用于</w:t>
            </w:r>
            <w:r>
              <w:rPr>
                <w:rFonts w:ascii="Times New Roman" w:hAnsi="Times New Roman"/>
                <w:sz w:val="20"/>
                <w:szCs w:val="20"/>
              </w:rPr>
              <w:t>XXX</w:t>
            </w:r>
            <w:r>
              <w:rPr>
                <w:rFonts w:hint="eastAsia" w:ascii="Times New Roman" w:hAnsi="Times New Roman"/>
                <w:sz w:val="20"/>
                <w:szCs w:val="20"/>
              </w:rPr>
              <w:t>方法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在审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中国</w:t>
            </w:r>
          </w:p>
        </w:tc>
        <w:tc>
          <w:tcPr>
            <w:tcW w:w="1807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XXX</w:t>
            </w:r>
            <w:r>
              <w:rPr>
                <w:rFonts w:hint="eastAsia" w:ascii="Times New Roman" w:hAnsi="Times New Roman"/>
                <w:sz w:val="20"/>
                <w:szCs w:val="20"/>
              </w:rPr>
              <w:t>(受理号)</w:t>
            </w:r>
          </w:p>
        </w:tc>
      </w:tr>
    </w:tbl>
    <w:p>
      <w:pPr>
        <w:spacing w:line="360" w:lineRule="auto"/>
        <w:ind w:firstLine="482" w:firstLineChars="20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hint="eastAsia" w:ascii="Times New Roman" w:hAnsi="Times New Roman"/>
          <w:b/>
          <w:color w:val="000000"/>
          <w:sz w:val="24"/>
          <w:szCs w:val="24"/>
          <w:lang w:val="en-US" w:eastAsia="zh-CN"/>
        </w:rPr>
        <w:t>7</w:t>
      </w:r>
      <w:bookmarkStart w:id="0" w:name="_GoBack"/>
      <w:bookmarkEnd w:id="0"/>
      <w:r>
        <w:rPr>
          <w:rFonts w:hint="eastAsia" w:ascii="Times New Roman" w:hAnsi="Times New Roman"/>
          <w:b/>
          <w:color w:val="000000"/>
          <w:sz w:val="24"/>
          <w:szCs w:val="24"/>
        </w:rPr>
        <w:t>、获奖情况：</w:t>
      </w:r>
    </w:p>
    <w:tbl>
      <w:tblPr>
        <w:tblStyle w:val="7"/>
        <w:tblW w:w="1043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3696"/>
        <w:gridCol w:w="3374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3696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名称</w:t>
            </w:r>
          </w:p>
        </w:tc>
        <w:tc>
          <w:tcPr>
            <w:tcW w:w="3374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奖项与等级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排序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017.01</w:t>
            </w:r>
          </w:p>
        </w:tc>
        <w:tc>
          <w:tcPr>
            <w:tcW w:w="3696" w:type="dxa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部门优秀员工</w:t>
            </w:r>
          </w:p>
        </w:tc>
        <w:tc>
          <w:tcPr>
            <w:tcW w:w="3374" w:type="dxa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部门级</w:t>
            </w:r>
          </w:p>
        </w:tc>
        <w:tc>
          <w:tcPr>
            <w:tcW w:w="1843" w:type="dxa"/>
          </w:tcPr>
          <w:p>
            <w:pPr>
              <w:ind w:right="101" w:rightChars="4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013.12</w:t>
            </w:r>
          </w:p>
        </w:tc>
        <w:tc>
          <w:tcPr>
            <w:tcW w:w="369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博士研究生国家奖学金</w:t>
            </w:r>
          </w:p>
        </w:tc>
        <w:tc>
          <w:tcPr>
            <w:tcW w:w="3374" w:type="dxa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013.11</w:t>
            </w:r>
          </w:p>
        </w:tc>
        <w:tc>
          <w:tcPr>
            <w:tcW w:w="369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优秀研究生标兵</w:t>
            </w:r>
          </w:p>
        </w:tc>
        <w:tc>
          <w:tcPr>
            <w:tcW w:w="3374" w:type="dxa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校级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009.06</w:t>
            </w:r>
          </w:p>
        </w:tc>
        <w:tc>
          <w:tcPr>
            <w:tcW w:w="369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优秀毕业生标兵</w:t>
            </w:r>
          </w:p>
        </w:tc>
        <w:tc>
          <w:tcPr>
            <w:tcW w:w="3374" w:type="dxa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校级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009.06</w:t>
            </w:r>
          </w:p>
        </w:tc>
        <w:tc>
          <w:tcPr>
            <w:tcW w:w="369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优秀学生</w:t>
            </w:r>
          </w:p>
        </w:tc>
        <w:tc>
          <w:tcPr>
            <w:tcW w:w="3374" w:type="dxa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校级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009.01</w:t>
            </w:r>
          </w:p>
        </w:tc>
        <w:tc>
          <w:tcPr>
            <w:tcW w:w="369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陕西省省级优秀毕业生</w:t>
            </w:r>
          </w:p>
        </w:tc>
        <w:tc>
          <w:tcPr>
            <w:tcW w:w="3374" w:type="dxa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省级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008.10</w:t>
            </w:r>
          </w:p>
        </w:tc>
        <w:tc>
          <w:tcPr>
            <w:tcW w:w="369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国家大学生创新性实验计划优秀项目</w:t>
            </w:r>
          </w:p>
        </w:tc>
        <w:tc>
          <w:tcPr>
            <w:tcW w:w="3374" w:type="dxa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校级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006.11</w:t>
            </w:r>
          </w:p>
        </w:tc>
        <w:tc>
          <w:tcPr>
            <w:tcW w:w="369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陕西省高等数学竞赛一等奖</w:t>
            </w:r>
          </w:p>
        </w:tc>
        <w:tc>
          <w:tcPr>
            <w:tcW w:w="3374" w:type="dxa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省级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006.12</w:t>
            </w:r>
          </w:p>
        </w:tc>
        <w:tc>
          <w:tcPr>
            <w:tcW w:w="3696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优秀学生</w:t>
            </w:r>
          </w:p>
        </w:tc>
        <w:tc>
          <w:tcPr>
            <w:tcW w:w="3374" w:type="dxa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校级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公示时间为：2018年</w:t>
      </w:r>
      <w:r>
        <w:rPr>
          <w:rFonts w:hint="eastAsia"/>
          <w:szCs w:val="21"/>
          <w:lang w:val="en-US" w:eastAsia="zh-CN"/>
        </w:rPr>
        <w:t>12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19</w:t>
      </w:r>
      <w:r>
        <w:rPr>
          <w:rFonts w:hint="eastAsia"/>
          <w:szCs w:val="21"/>
        </w:rPr>
        <w:t>日至2018年</w:t>
      </w:r>
      <w:r>
        <w:rPr>
          <w:rFonts w:hint="eastAsia"/>
          <w:szCs w:val="21"/>
          <w:lang w:val="en-US" w:eastAsia="zh-CN"/>
        </w:rPr>
        <w:t>12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25</w:t>
      </w:r>
      <w:r>
        <w:rPr>
          <w:rFonts w:hint="eastAsia"/>
          <w:szCs w:val="21"/>
        </w:rPr>
        <w:t>日。</w:t>
      </w:r>
    </w:p>
    <w:p>
      <w:pPr>
        <w:rPr>
          <w:szCs w:val="21"/>
        </w:rPr>
      </w:pPr>
      <w:r>
        <w:rPr>
          <w:rFonts w:hint="eastAsia"/>
          <w:szCs w:val="21"/>
        </w:rPr>
        <w:t>对匿名公示人员有异议的单位或个人，可在公示期间以真实姓名向信息学院公开招聘工作小组电话、书面反映或面谈，恕不接受匿名电话和信件。</w:t>
      </w:r>
    </w:p>
    <w:p>
      <w:pPr>
        <w:rPr>
          <w:szCs w:val="21"/>
        </w:rPr>
      </w:pPr>
      <w:r>
        <w:rPr>
          <w:rFonts w:hint="eastAsia"/>
          <w:szCs w:val="21"/>
        </w:rPr>
        <w:t>信息学院办公室电话：028-66367465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联系邮箱：jsjrs@swjtu.edu.cn              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信息科学与技术学院</w:t>
      </w:r>
    </w:p>
    <w:p>
      <w:r>
        <w:rPr>
          <w:rFonts w:hint="eastAsia"/>
          <w:szCs w:val="21"/>
        </w:rPr>
        <w:t xml:space="preserve">                                                      二〇一八年</w:t>
      </w:r>
      <w:r>
        <w:rPr>
          <w:rFonts w:hint="eastAsia"/>
          <w:szCs w:val="21"/>
          <w:lang w:eastAsia="zh-CN"/>
        </w:rPr>
        <w:t>十二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eastAsia="zh-CN"/>
        </w:rPr>
        <w:t>十九</w:t>
      </w:r>
      <w:r>
        <w:rPr>
          <w:rFonts w:hint="eastAsia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imbusRomNo9L-Regu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149FF"/>
    <w:rsid w:val="00270AB1"/>
    <w:rsid w:val="00462BFA"/>
    <w:rsid w:val="00882D60"/>
    <w:rsid w:val="00AD62B3"/>
    <w:rsid w:val="00DB4354"/>
    <w:rsid w:val="00E56669"/>
    <w:rsid w:val="01875001"/>
    <w:rsid w:val="03735BC9"/>
    <w:rsid w:val="08161105"/>
    <w:rsid w:val="082D1B1C"/>
    <w:rsid w:val="144E5C0B"/>
    <w:rsid w:val="15276360"/>
    <w:rsid w:val="158305FB"/>
    <w:rsid w:val="15D218A0"/>
    <w:rsid w:val="18584CA7"/>
    <w:rsid w:val="186E3CCE"/>
    <w:rsid w:val="193E0BCA"/>
    <w:rsid w:val="1E9A1F40"/>
    <w:rsid w:val="23541325"/>
    <w:rsid w:val="2A6B1C17"/>
    <w:rsid w:val="2DF20167"/>
    <w:rsid w:val="2EB46FEA"/>
    <w:rsid w:val="2FB2592B"/>
    <w:rsid w:val="2FD11E06"/>
    <w:rsid w:val="33962048"/>
    <w:rsid w:val="363275B1"/>
    <w:rsid w:val="38646E30"/>
    <w:rsid w:val="3B23205C"/>
    <w:rsid w:val="3C10210C"/>
    <w:rsid w:val="3D900579"/>
    <w:rsid w:val="3E9729EE"/>
    <w:rsid w:val="403B6CD9"/>
    <w:rsid w:val="40426CA0"/>
    <w:rsid w:val="40DA2B33"/>
    <w:rsid w:val="45736337"/>
    <w:rsid w:val="478353F9"/>
    <w:rsid w:val="479B1798"/>
    <w:rsid w:val="48AF10CA"/>
    <w:rsid w:val="49C2036B"/>
    <w:rsid w:val="4C373466"/>
    <w:rsid w:val="4D9C0048"/>
    <w:rsid w:val="534A231A"/>
    <w:rsid w:val="552553A1"/>
    <w:rsid w:val="56575EAA"/>
    <w:rsid w:val="587F17C1"/>
    <w:rsid w:val="58AA0221"/>
    <w:rsid w:val="5FCE557E"/>
    <w:rsid w:val="68793240"/>
    <w:rsid w:val="6D276585"/>
    <w:rsid w:val="704D56A3"/>
    <w:rsid w:val="75DB48BB"/>
    <w:rsid w:val="778B482B"/>
    <w:rsid w:val="78B96688"/>
    <w:rsid w:val="7E6E7AAC"/>
    <w:rsid w:val="7EDA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527</Words>
  <Characters>3007</Characters>
  <Lines>25</Lines>
  <Paragraphs>7</Paragraphs>
  <TotalTime>0</TotalTime>
  <ScaleCrop>false</ScaleCrop>
  <LinksUpToDate>false</LinksUpToDate>
  <CharactersWithSpaces>3527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2018-05-18T06:58:00Z</dcterms:created>
  <dc:creator>Administrator</dc:creator>
  <cp:lastModifiedBy>叮叮糖</cp:lastModifiedBy>
  <dcterms:modified xsi:type="dcterms:W3CDTF">2018-12-19T10:25:32Z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