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ind w:firstLine="0" w:firstLineChars="0"/>
        <w:jc w:val="center"/>
        <w:rPr>
          <w:rFonts w:ascii="微软雅黑" w:hAnsi="微软雅黑" w:eastAsia="微软雅黑"/>
          <w:b/>
          <w:sz w:val="36"/>
          <w:szCs w:val="36"/>
        </w:rPr>
      </w:pPr>
      <w:r>
        <w:rPr>
          <w:rFonts w:hint="eastAsia" w:ascii="微软雅黑" w:hAnsi="微软雅黑" w:eastAsia="微软雅黑"/>
          <w:b/>
          <w:sz w:val="36"/>
          <w:szCs w:val="36"/>
        </w:rPr>
        <w:t>广州汽车集团乘用车有限公司宜昌分公司</w:t>
      </w:r>
    </w:p>
    <w:p>
      <w:pPr>
        <w:pStyle w:val="12"/>
        <w:spacing w:line="360" w:lineRule="auto"/>
        <w:ind w:firstLine="0" w:firstLineChars="0"/>
        <w:jc w:val="center"/>
        <w:rPr>
          <w:rFonts w:ascii="微软雅黑" w:hAnsi="微软雅黑" w:eastAsia="微软雅黑"/>
          <w:b/>
          <w:sz w:val="36"/>
          <w:szCs w:val="36"/>
        </w:rPr>
      </w:pPr>
      <w:r>
        <w:rPr>
          <w:rFonts w:hint="eastAsia" w:ascii="微软雅黑" w:hAnsi="微软雅黑" w:eastAsia="微软雅黑"/>
          <w:b/>
          <w:sz w:val="36"/>
          <w:szCs w:val="36"/>
        </w:rPr>
        <w:t>2019校园招聘简章</w:t>
      </w:r>
    </w:p>
    <w:p>
      <w:pPr>
        <w:pStyle w:val="12"/>
        <w:spacing w:line="360" w:lineRule="auto"/>
        <w:ind w:firstLine="0" w:firstLineChars="0"/>
        <w:jc w:val="center"/>
        <w:rPr>
          <w:rFonts w:hint="eastAsia" w:ascii="微软雅黑" w:hAnsi="微软雅黑" w:eastAsia="微软雅黑"/>
          <w:b/>
          <w:sz w:val="28"/>
          <w:szCs w:val="28"/>
        </w:rPr>
      </w:pPr>
    </w:p>
    <w:p>
      <w:pPr>
        <w:pStyle w:val="12"/>
        <w:spacing w:line="360" w:lineRule="auto"/>
        <w:ind w:firstLine="0" w:firstLineChars="0"/>
        <w:jc w:val="center"/>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宣讲会时间：2019年3月14日18:00-20：00</w:t>
      </w:r>
    </w:p>
    <w:p>
      <w:pPr>
        <w:pStyle w:val="12"/>
        <w:spacing w:line="360" w:lineRule="auto"/>
        <w:ind w:firstLine="0" w:firstLineChars="0"/>
        <w:jc w:val="center"/>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宣讲会地点：西南交通大学犀浦校区四食堂三楼学术报告厅</w:t>
      </w:r>
      <w:bookmarkStart w:id="0" w:name="_GoBack"/>
      <w:bookmarkEnd w:id="0"/>
    </w:p>
    <w:p>
      <w:pPr>
        <w:pStyle w:val="12"/>
        <w:spacing w:line="360" w:lineRule="auto"/>
        <w:ind w:firstLine="0" w:firstLineChars="0"/>
        <w:jc w:val="center"/>
        <w:rPr>
          <w:rFonts w:hint="eastAsia" w:ascii="微软雅黑" w:hAnsi="微软雅黑" w:eastAsia="微软雅黑"/>
          <w:b/>
          <w:sz w:val="28"/>
          <w:szCs w:val="28"/>
        </w:rPr>
      </w:pPr>
      <w:r>
        <w:rPr>
          <w:rFonts w:hint="eastAsia" w:ascii="微软雅黑" w:hAnsi="微软雅黑" w:eastAsia="微软雅黑"/>
          <w:b/>
          <w:sz w:val="28"/>
          <w:szCs w:val="28"/>
          <w:lang w:val="en-US" w:eastAsia="zh-CN"/>
        </w:rPr>
        <w:t>网申</w:t>
      </w:r>
      <w:r>
        <w:rPr>
          <w:rFonts w:hint="eastAsia" w:ascii="微软雅黑" w:hAnsi="微软雅黑" w:eastAsia="微软雅黑"/>
          <w:b/>
          <w:sz w:val="28"/>
          <w:szCs w:val="28"/>
        </w:rPr>
        <w:t>链接：</w:t>
      </w:r>
      <w:r>
        <w:rPr>
          <w:rFonts w:ascii="微软雅黑" w:hAnsi="微软雅黑" w:eastAsia="微软雅黑"/>
          <w:b/>
          <w:sz w:val="28"/>
          <w:szCs w:val="28"/>
        </w:rPr>
        <w:t>gqcyc.2019campus.zhaopin.com</w:t>
      </w:r>
    </w:p>
    <w:p>
      <w:pPr>
        <w:pStyle w:val="12"/>
        <w:spacing w:line="360" w:lineRule="auto"/>
        <w:ind w:firstLine="0" w:firstLineChars="0"/>
        <w:jc w:val="left"/>
        <w:rPr>
          <w:rFonts w:ascii="微软雅黑" w:hAnsi="微软雅黑" w:eastAsia="微软雅黑"/>
          <w:b/>
          <w:sz w:val="28"/>
          <w:szCs w:val="28"/>
        </w:rPr>
      </w:pPr>
      <w:r>
        <w:rPr>
          <w:rFonts w:hint="eastAsia" w:ascii="微软雅黑" w:hAnsi="微软雅黑" w:eastAsia="微软雅黑"/>
          <w:b/>
          <w:sz w:val="28"/>
          <w:szCs w:val="28"/>
        </w:rPr>
        <w:t>一、公司简介</w:t>
      </w:r>
    </w:p>
    <w:p>
      <w:pPr>
        <w:pStyle w:val="12"/>
        <w:spacing w:line="360" w:lineRule="auto"/>
        <w:ind w:firstLine="0" w:firstLineChars="0"/>
        <w:jc w:val="left"/>
        <w:rPr>
          <w:rFonts w:ascii="微软雅黑" w:hAnsi="微软雅黑" w:eastAsia="微软雅黑"/>
          <w:b/>
          <w:sz w:val="24"/>
          <w:szCs w:val="28"/>
        </w:rPr>
      </w:pPr>
      <w:r>
        <w:rPr>
          <w:rFonts w:hint="eastAsia" w:ascii="微软雅黑" w:hAnsi="微软雅黑" w:eastAsia="微软雅黑"/>
          <w:b/>
          <w:sz w:val="24"/>
          <w:szCs w:val="28"/>
        </w:rPr>
        <w:t>广汽乘用车简介：</w:t>
      </w:r>
    </w:p>
    <w:p>
      <w:pPr>
        <w:widowControl/>
        <w:shd w:val="clear" w:color="auto" w:fill="FFFFFF"/>
        <w:ind w:firstLine="480" w:firstLineChars="200"/>
        <w:rPr>
          <w:rFonts w:ascii="微软雅黑" w:hAnsi="微软雅黑" w:eastAsia="微软雅黑" w:cs="Arial"/>
          <w:kern w:val="0"/>
          <w:sz w:val="24"/>
          <w:szCs w:val="24"/>
        </w:rPr>
      </w:pPr>
      <w:r>
        <w:rPr>
          <w:rFonts w:ascii="微软雅黑" w:hAnsi="微软雅黑" w:eastAsia="微软雅黑" w:cs="Arial"/>
          <w:kern w:val="0"/>
          <w:sz w:val="24"/>
          <w:szCs w:val="24"/>
        </w:rPr>
        <w:t>广州汽车集团乘用车有限公司是广汽集团（世界500强第</w:t>
      </w:r>
      <w:r>
        <w:rPr>
          <w:rFonts w:hint="eastAsia" w:ascii="微软雅黑" w:hAnsi="微软雅黑" w:eastAsia="微软雅黑" w:cs="Arial"/>
          <w:kern w:val="0"/>
          <w:sz w:val="24"/>
          <w:szCs w:val="24"/>
        </w:rPr>
        <w:t>202位</w:t>
      </w:r>
      <w:r>
        <w:rPr>
          <w:rFonts w:ascii="微软雅黑" w:hAnsi="微软雅黑" w:eastAsia="微软雅黑" w:cs="Arial"/>
          <w:kern w:val="0"/>
          <w:sz w:val="24"/>
          <w:szCs w:val="24"/>
        </w:rPr>
        <w:t>，A+H股上市公司）投资设立的大型现代化汽车企业</w:t>
      </w:r>
      <w:r>
        <w:rPr>
          <w:rFonts w:hint="eastAsia" w:ascii="微软雅黑" w:hAnsi="微软雅黑" w:eastAsia="微软雅黑" w:cs="Arial"/>
          <w:kern w:val="0"/>
          <w:sz w:val="24"/>
          <w:szCs w:val="24"/>
        </w:rPr>
        <w:t>。</w:t>
      </w:r>
      <w:r>
        <w:rPr>
          <w:rFonts w:ascii="微软雅黑" w:hAnsi="微软雅黑" w:eastAsia="微软雅黑" w:cs="Arial"/>
          <w:kern w:val="0"/>
          <w:sz w:val="24"/>
          <w:szCs w:val="24"/>
        </w:rPr>
        <w:t>公司成立于2008年7月</w:t>
      </w:r>
      <w:r>
        <w:rPr>
          <w:rFonts w:hint="eastAsia" w:ascii="微软雅黑" w:hAnsi="微软雅黑" w:eastAsia="微软雅黑" w:cs="Arial"/>
          <w:kern w:val="0"/>
          <w:sz w:val="24"/>
          <w:szCs w:val="24"/>
        </w:rPr>
        <w:t>，</w:t>
      </w:r>
      <w:r>
        <w:rPr>
          <w:rFonts w:ascii="微软雅黑" w:hAnsi="微软雅黑" w:eastAsia="微软雅黑" w:cs="Arial"/>
          <w:kern w:val="0"/>
          <w:sz w:val="24"/>
          <w:szCs w:val="24"/>
        </w:rPr>
        <w:t>注册资金</w:t>
      </w:r>
      <w:r>
        <w:rPr>
          <w:rFonts w:hint="eastAsia" w:ascii="微软雅黑" w:hAnsi="微软雅黑" w:eastAsia="微软雅黑" w:cs="Arial"/>
          <w:kern w:val="0"/>
          <w:sz w:val="24"/>
          <w:szCs w:val="24"/>
        </w:rPr>
        <w:t>82.7</w:t>
      </w:r>
      <w:r>
        <w:rPr>
          <w:rFonts w:ascii="微软雅黑" w:hAnsi="微软雅黑" w:eastAsia="微软雅黑" w:cs="Arial"/>
          <w:kern w:val="0"/>
          <w:sz w:val="24"/>
          <w:szCs w:val="24"/>
        </w:rPr>
        <w:t>亿元</w:t>
      </w:r>
      <w:r>
        <w:rPr>
          <w:rFonts w:hint="eastAsia" w:ascii="微软雅黑" w:hAnsi="微软雅黑" w:eastAsia="微软雅黑" w:cs="Arial"/>
          <w:kern w:val="0"/>
          <w:sz w:val="24"/>
          <w:szCs w:val="24"/>
        </w:rPr>
        <w:t>。</w:t>
      </w:r>
      <w:r>
        <w:rPr>
          <w:rFonts w:ascii="微软雅黑" w:hAnsi="微软雅黑" w:eastAsia="微软雅黑" w:cs="Arial"/>
          <w:kern w:val="0"/>
          <w:sz w:val="24"/>
          <w:szCs w:val="24"/>
        </w:rPr>
        <w:t>广汽</w:t>
      </w:r>
      <w:r>
        <w:rPr>
          <w:rFonts w:hint="eastAsia" w:ascii="微软雅黑" w:hAnsi="微软雅黑" w:eastAsia="微软雅黑" w:cs="Arial"/>
          <w:kern w:val="0"/>
          <w:sz w:val="24"/>
          <w:szCs w:val="24"/>
        </w:rPr>
        <w:t>乘用车</w:t>
      </w:r>
      <w:r>
        <w:rPr>
          <w:rFonts w:ascii="微软雅黑" w:hAnsi="微软雅黑" w:eastAsia="微软雅黑" w:cs="Arial"/>
          <w:kern w:val="0"/>
          <w:sz w:val="24"/>
          <w:szCs w:val="24"/>
        </w:rPr>
        <w:t>是广汽集团举全集团之力打造的自主品牌，是国家高新技术企业。</w:t>
      </w:r>
    </w:p>
    <w:p>
      <w:pPr>
        <w:widowControl/>
        <w:shd w:val="clear" w:color="auto" w:fill="FFFFFF"/>
        <w:ind w:firstLine="480" w:firstLineChars="200"/>
        <w:rPr>
          <w:rFonts w:ascii="微软雅黑" w:hAnsi="微软雅黑" w:eastAsia="微软雅黑" w:cs="Arial"/>
          <w:kern w:val="0"/>
          <w:sz w:val="24"/>
          <w:szCs w:val="24"/>
        </w:rPr>
      </w:pPr>
      <w:r>
        <w:rPr>
          <w:rFonts w:hint="eastAsia" w:ascii="微软雅黑" w:hAnsi="微软雅黑" w:eastAsia="微软雅黑" w:cs="Arial"/>
          <w:kern w:val="0"/>
          <w:sz w:val="24"/>
          <w:szCs w:val="24"/>
        </w:rPr>
        <w:t>广汽乘用车自诞生以来便立足国际视野，坚持正向开发，起步与世界同步。广汽乘用车和广汽研究院共同打造了全球研发网、广汽生产方式、涵盖全球前十大零部件供应商的供应链体系以及集群网络营销新模式。广汽乘用车生产的“传祺”品牌系列乘用车以其优异品质得到行业及消费者的认可，产品品质连续6年在全球领先的市场研究机构J.D. Power中国新车质量研究报告中位列中国品牌榜首。公司销量从2011年1.7万辆增长到 2017年50.8万辆，产品远销全球15个国家和地区，2019年还将进军美国市场。</w:t>
      </w:r>
    </w:p>
    <w:p>
      <w:pPr>
        <w:widowControl/>
        <w:shd w:val="clear" w:color="auto" w:fill="FFFFFF"/>
        <w:rPr>
          <w:rFonts w:ascii="微软雅黑" w:hAnsi="微软雅黑" w:eastAsia="微软雅黑" w:cs="Times New Roman"/>
          <w:b/>
          <w:sz w:val="24"/>
          <w:szCs w:val="24"/>
        </w:rPr>
      </w:pPr>
      <w:r>
        <w:rPr>
          <w:rFonts w:hint="eastAsia" w:ascii="微软雅黑" w:hAnsi="微软雅黑" w:eastAsia="微软雅黑" w:cs="Times New Roman"/>
          <w:b/>
          <w:sz w:val="24"/>
          <w:szCs w:val="24"/>
        </w:rPr>
        <w:t>广汽乘用车宜昌分公司简介：</w:t>
      </w:r>
    </w:p>
    <w:p>
      <w:pPr>
        <w:pStyle w:val="12"/>
        <w:ind w:firstLineChars="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广州汽车集团乘用车有限公司宜昌分公司，是广汽乘用车布局华中、长江经济带的重大战略举措，充分贯彻“广汽生产方式（GPS）”，以“工业4.0”和“中国制造2025”的智能制造理念，建设设备智能化、物流信息化、信息可视化、制造生态化的自动化生产线，打造广汽集团高质量、高效率、节能环保的“智能制造”标杆工厂，代表中国工业制造的先进水平。</w:t>
      </w:r>
    </w:p>
    <w:p>
      <w:pPr>
        <w:pStyle w:val="12"/>
        <w:ind w:firstLine="48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公司坐落于湖北省宜昌市猇亭区，整体占地面积约1400亩，规划总建筑面积达到22万平方米，首期投资35亿元人民币，是湖北省、宜昌市重点项目。公司规划建成20万辆/年的标准产能的生产线，包含冲压、焊装、涂装、合成树脂、总装、品质检测等生产工艺，生产广汽传祺系列车型，将于2019年6月建成投产。</w:t>
      </w:r>
    </w:p>
    <w:p>
      <w:pPr>
        <w:pStyle w:val="12"/>
        <w:ind w:firstLine="0" w:firstLineChars="0"/>
        <w:jc w:val="left"/>
        <w:rPr>
          <w:rFonts w:ascii="微软雅黑" w:hAnsi="微软雅黑" w:eastAsia="微软雅黑" w:cs="Arial"/>
          <w:b/>
          <w:kern w:val="0"/>
          <w:sz w:val="28"/>
          <w:szCs w:val="28"/>
        </w:rPr>
      </w:pPr>
      <w:r>
        <w:rPr>
          <w:rFonts w:hint="eastAsia" w:ascii="微软雅黑" w:hAnsi="微软雅黑" w:eastAsia="微软雅黑" w:cs="Arial"/>
          <w:b/>
          <w:kern w:val="0"/>
          <w:sz w:val="28"/>
          <w:szCs w:val="28"/>
        </w:rPr>
        <w:t>二、人力资源管理</w:t>
      </w:r>
    </w:p>
    <w:p>
      <w:pPr>
        <w:pStyle w:val="12"/>
        <w:ind w:firstLine="48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公司坚持“以人为本，共创共赢”的人力资源管理理念，通过构建充分激发人的智慧和活力的工作环境、员工培训及薪酬激励体系，使员工的成长、自我价值实现与企业的经营发展紧密相连，实现“双赢”。通过创新探索，逐步建立了有自主品牌特色的现代人力资源管理体系，着力打造助推广汽传祺跨越发展的人才引擎，形成凝心聚力、生机活力的传祺人才文化。</w:t>
      </w:r>
    </w:p>
    <w:p>
      <w:pPr>
        <w:widowControl/>
        <w:spacing w:line="360" w:lineRule="auto"/>
        <w:jc w:val="left"/>
        <w:rPr>
          <w:rFonts w:ascii="微软雅黑" w:hAnsi="微软雅黑" w:eastAsia="微软雅黑" w:cs="Arial"/>
          <w:b/>
          <w:kern w:val="0"/>
          <w:sz w:val="24"/>
          <w:szCs w:val="24"/>
        </w:rPr>
      </w:pPr>
      <w:r>
        <w:rPr>
          <w:rFonts w:ascii="微软雅黑" w:hAnsi="微软雅黑" w:eastAsia="微软雅黑" w:cs="Arial"/>
          <w:b/>
          <w:kern w:val="0"/>
          <w:sz w:val="24"/>
          <w:szCs w:val="24"/>
        </w:rPr>
        <w:t>人才培训</w:t>
      </w:r>
    </w:p>
    <w:p>
      <w:pPr>
        <w:pStyle w:val="12"/>
        <w:ind w:firstLine="48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公司坚持“造车育人，人才强司”，以构建学习型组织为导向，努力构建OJT、OFF-JT、SDP多元化人才培训模式。创建了“传祺大讲堂”、“传祺鹰系列管理培训”、“创新广汽IGA活动”、“QC质量小组”等具有传祺特色的人才培养模式。针对新大学生，专门设立“传祺新动力成长训练营”，并实施“导师制”，“工作悉心辅导，成长正面引导”，使员工获得持续的学习和成长。</w:t>
      </w:r>
    </w:p>
    <w:p>
      <w:pPr>
        <w:widowControl/>
        <w:spacing w:line="360" w:lineRule="auto"/>
        <w:jc w:val="left"/>
        <w:rPr>
          <w:rFonts w:ascii="微软雅黑" w:hAnsi="微软雅黑" w:eastAsia="微软雅黑" w:cs="Arial"/>
          <w:b/>
          <w:kern w:val="0"/>
          <w:sz w:val="24"/>
          <w:szCs w:val="24"/>
        </w:rPr>
      </w:pPr>
      <w:r>
        <w:rPr>
          <w:rFonts w:ascii="微软雅黑" w:hAnsi="微软雅黑" w:eastAsia="微软雅黑" w:cs="Arial"/>
          <w:b/>
          <w:kern w:val="0"/>
          <w:sz w:val="24"/>
          <w:szCs w:val="24"/>
        </w:rPr>
        <w:t>职业发展</w:t>
      </w:r>
    </w:p>
    <w:p>
      <w:pPr>
        <w:widowControl/>
        <w:spacing w:line="360" w:lineRule="auto"/>
        <w:ind w:firstLine="480" w:firstLineChars="200"/>
        <w:jc w:val="left"/>
        <w:rPr>
          <w:rFonts w:ascii="微软雅黑" w:hAnsi="微软雅黑" w:eastAsia="微软雅黑" w:cs="Arial"/>
          <w:kern w:val="0"/>
          <w:sz w:val="24"/>
          <w:szCs w:val="24"/>
          <w:lang w:eastAsia="zh-TW"/>
        </w:rPr>
      </w:pPr>
      <w:r>
        <w:rPr>
          <w:rFonts w:hint="eastAsia" w:ascii="微软雅黑" w:hAnsi="微软雅黑" w:eastAsia="微软雅黑" w:cs="Arial"/>
          <w:kern w:val="0"/>
          <w:sz w:val="24"/>
          <w:szCs w:val="24"/>
          <w:lang w:eastAsia="zh-TW"/>
        </w:rPr>
        <w:t>公司建立了“职务”、“资格”双通道的人才晋升通道，大大拓展了员工的职业发展通道。树立“年轻干部也能挑大梁”的观念，不拘年龄、资历等限制，本着“大胆使用，重点培养”的原则，大胆选拔、任用优秀年轻干部。一大批年轻人才在传祺快速成长，不少已经成长为科级、甚至部级干部。</w:t>
      </w:r>
    </w:p>
    <w:p>
      <w:pPr>
        <w:pStyle w:val="12"/>
        <w:spacing w:line="360" w:lineRule="auto"/>
        <w:ind w:firstLine="0" w:firstLineChars="0"/>
        <w:jc w:val="left"/>
        <w:rPr>
          <w:rFonts w:ascii="微软雅黑" w:hAnsi="微软雅黑" w:eastAsia="微软雅黑"/>
          <w:b/>
          <w:sz w:val="24"/>
          <w:szCs w:val="24"/>
        </w:rPr>
      </w:pPr>
      <w:r>
        <w:rPr>
          <w:rFonts w:hint="eastAsia" w:ascii="微软雅黑" w:hAnsi="微软雅黑" w:eastAsia="微软雅黑"/>
          <w:b/>
          <w:sz w:val="24"/>
          <w:szCs w:val="24"/>
        </w:rPr>
        <w:t>薪酬激励</w:t>
      </w:r>
    </w:p>
    <w:p>
      <w:pPr>
        <w:numPr>
          <w:ilvl w:val="0"/>
          <w:numId w:val="1"/>
        </w:numPr>
        <w:rPr>
          <w:rFonts w:ascii="微软雅黑" w:hAnsi="微软雅黑" w:eastAsia="微软雅黑"/>
          <w:b/>
          <w:sz w:val="24"/>
          <w:szCs w:val="24"/>
        </w:rPr>
      </w:pPr>
      <w:r>
        <w:rPr>
          <w:rFonts w:hint="eastAsia" w:ascii="微软雅黑" w:hAnsi="微软雅黑" w:eastAsia="微软雅黑"/>
          <w:b/>
          <w:sz w:val="24"/>
          <w:szCs w:val="24"/>
        </w:rPr>
        <w:t>富有竞争力的起薪</w:t>
      </w:r>
    </w:p>
    <w:p>
      <w:pPr>
        <w:ind w:left="900"/>
        <w:jc w:val="left"/>
        <w:rPr>
          <w:rFonts w:ascii="微软雅黑" w:hAnsi="微软雅黑" w:eastAsia="微软雅黑"/>
          <w:sz w:val="24"/>
          <w:szCs w:val="24"/>
        </w:rPr>
      </w:pPr>
      <w:r>
        <w:rPr>
          <w:rFonts w:hint="eastAsia" w:ascii="微软雅黑" w:hAnsi="微软雅黑" w:eastAsia="微软雅黑"/>
          <w:sz w:val="24"/>
          <w:szCs w:val="24"/>
        </w:rPr>
        <w:t>公司努力建立外部具有一定竞争力、内部具有相对公平性、较完善的全面薪酬管理体系，与员工共享企业发展成果。</w:t>
      </w:r>
    </w:p>
    <w:p>
      <w:pPr>
        <w:pStyle w:val="14"/>
        <w:numPr>
          <w:ilvl w:val="0"/>
          <w:numId w:val="1"/>
        </w:numPr>
        <w:ind w:firstLineChars="0"/>
        <w:jc w:val="left"/>
        <w:rPr>
          <w:rFonts w:ascii="微软雅黑" w:hAnsi="微软雅黑" w:eastAsia="微软雅黑"/>
          <w:b/>
          <w:sz w:val="24"/>
          <w:szCs w:val="24"/>
        </w:rPr>
      </w:pPr>
      <w:r>
        <w:rPr>
          <w:rFonts w:hint="eastAsia" w:ascii="微软雅黑" w:hAnsi="微软雅黑" w:eastAsia="微软雅黑"/>
          <w:b/>
          <w:sz w:val="24"/>
          <w:szCs w:val="24"/>
        </w:rPr>
        <w:t>弹性兼具成长性的绩效奖励</w:t>
      </w:r>
    </w:p>
    <w:p>
      <w:pPr>
        <w:ind w:left="900"/>
        <w:jc w:val="left"/>
        <w:rPr>
          <w:rFonts w:ascii="微软雅黑" w:hAnsi="微软雅黑" w:eastAsia="微软雅黑"/>
          <w:sz w:val="24"/>
          <w:szCs w:val="24"/>
        </w:rPr>
      </w:pPr>
      <w:r>
        <w:rPr>
          <w:rFonts w:hint="eastAsia" w:ascii="微软雅黑" w:hAnsi="微软雅黑" w:eastAsia="微软雅黑"/>
          <w:sz w:val="24"/>
          <w:szCs w:val="24"/>
        </w:rPr>
        <w:t>业绩工资与个人业绩挂钩，根据公司经营效益，每年发放丰厚的年度奖金。</w:t>
      </w:r>
    </w:p>
    <w:p>
      <w:pPr>
        <w:numPr>
          <w:ilvl w:val="0"/>
          <w:numId w:val="1"/>
        </w:numPr>
        <w:jc w:val="left"/>
        <w:rPr>
          <w:rFonts w:ascii="微软雅黑" w:hAnsi="微软雅黑" w:eastAsia="微软雅黑"/>
          <w:b/>
          <w:sz w:val="24"/>
          <w:szCs w:val="24"/>
        </w:rPr>
      </w:pPr>
      <w:r>
        <w:rPr>
          <w:rFonts w:hint="eastAsia" w:ascii="微软雅黑" w:hAnsi="微软雅黑" w:eastAsia="微软雅黑"/>
          <w:b/>
          <w:sz w:val="24"/>
          <w:szCs w:val="24"/>
        </w:rPr>
        <w:t>完善的员工福利体系</w:t>
      </w:r>
    </w:p>
    <w:p>
      <w:pPr>
        <w:ind w:left="900"/>
        <w:jc w:val="left"/>
        <w:rPr>
          <w:rFonts w:ascii="微软雅黑" w:hAnsi="微软雅黑" w:eastAsia="微软雅黑"/>
          <w:sz w:val="24"/>
          <w:szCs w:val="24"/>
        </w:rPr>
      </w:pPr>
      <w:r>
        <w:rPr>
          <w:rFonts w:hint="eastAsia" w:ascii="微软雅黑" w:hAnsi="微软雅黑" w:eastAsia="微软雅黑"/>
          <w:sz w:val="24"/>
          <w:szCs w:val="24"/>
        </w:rPr>
        <w:t>六险一金（除五险一金之外增加商业医疗保险），员工优惠购车，良好的住宿环境，</w:t>
      </w:r>
    </w:p>
    <w:p>
      <w:pPr>
        <w:ind w:left="900"/>
        <w:jc w:val="left"/>
        <w:rPr>
          <w:rFonts w:ascii="微软雅黑" w:hAnsi="微软雅黑" w:eastAsia="微软雅黑"/>
          <w:sz w:val="24"/>
          <w:szCs w:val="24"/>
        </w:rPr>
      </w:pPr>
      <w:r>
        <w:rPr>
          <w:rFonts w:hint="eastAsia" w:ascii="微软雅黑" w:hAnsi="微软雅黑" w:eastAsia="微软雅黑"/>
          <w:sz w:val="24"/>
          <w:szCs w:val="24"/>
        </w:rPr>
        <w:t>应届大学生安家费。</w:t>
      </w:r>
    </w:p>
    <w:p>
      <w:pPr>
        <w:numPr>
          <w:ilvl w:val="0"/>
          <w:numId w:val="1"/>
        </w:numPr>
        <w:jc w:val="left"/>
        <w:rPr>
          <w:rFonts w:ascii="微软雅黑" w:hAnsi="微软雅黑" w:eastAsia="微软雅黑"/>
          <w:b/>
          <w:sz w:val="24"/>
          <w:szCs w:val="24"/>
        </w:rPr>
      </w:pPr>
      <w:r>
        <w:rPr>
          <w:rFonts w:hint="eastAsia" w:ascii="微软雅黑" w:hAnsi="微软雅黑" w:eastAsia="微软雅黑"/>
          <w:b/>
          <w:sz w:val="24"/>
          <w:szCs w:val="24"/>
        </w:rPr>
        <w:t>贴心的人文关怀</w:t>
      </w:r>
    </w:p>
    <w:p>
      <w:pPr>
        <w:ind w:left="838" w:leftChars="399"/>
        <w:jc w:val="left"/>
        <w:rPr>
          <w:rFonts w:ascii="微软雅黑" w:hAnsi="微软雅黑" w:eastAsia="微软雅黑"/>
          <w:sz w:val="24"/>
          <w:szCs w:val="24"/>
        </w:rPr>
      </w:pPr>
      <w:r>
        <w:rPr>
          <w:rFonts w:hint="eastAsia" w:ascii="微软雅黑" w:hAnsi="微软雅黑" w:eastAsia="微软雅黑"/>
          <w:sz w:val="24"/>
          <w:szCs w:val="24"/>
        </w:rPr>
        <w:t>免费工作餐、传祺美食节、带薪年假及高温假、年度健康体检、节日慰问金、高温津贴、单身联谊等。</w:t>
      </w:r>
    </w:p>
    <w:p>
      <w:pPr>
        <w:numPr>
          <w:ilvl w:val="0"/>
          <w:numId w:val="1"/>
        </w:numPr>
        <w:jc w:val="left"/>
        <w:rPr>
          <w:rFonts w:ascii="微软雅黑" w:hAnsi="微软雅黑" w:eastAsia="微软雅黑"/>
          <w:b/>
          <w:sz w:val="24"/>
          <w:szCs w:val="24"/>
        </w:rPr>
      </w:pPr>
      <w:r>
        <w:rPr>
          <w:rFonts w:hint="eastAsia" w:ascii="微软雅黑" w:hAnsi="微软雅黑" w:eastAsia="微软雅黑"/>
          <w:b/>
          <w:sz w:val="24"/>
          <w:szCs w:val="24"/>
        </w:rPr>
        <w:t>丰富的员工活动</w:t>
      </w:r>
    </w:p>
    <w:p>
      <w:pPr>
        <w:ind w:left="900"/>
        <w:jc w:val="left"/>
        <w:rPr>
          <w:rFonts w:ascii="微软雅黑" w:hAnsi="微软雅黑" w:eastAsia="微软雅黑"/>
          <w:sz w:val="24"/>
          <w:szCs w:val="24"/>
        </w:rPr>
      </w:pPr>
      <w:r>
        <w:rPr>
          <w:rFonts w:hint="eastAsia" w:ascii="微软雅黑" w:hAnsi="微软雅黑" w:eastAsia="微软雅黑"/>
          <w:sz w:val="24"/>
          <w:szCs w:val="24"/>
        </w:rPr>
        <w:t>篮球，足球，羽毛球，游泳等各类文体活动；自行车越野，摄影，舞蹈等兴趣爱好协会；工会定期举行各类文体活动和出游。</w:t>
      </w:r>
    </w:p>
    <w:p>
      <w:pPr>
        <w:numPr>
          <w:ilvl w:val="0"/>
          <w:numId w:val="1"/>
        </w:numPr>
        <w:jc w:val="left"/>
        <w:rPr>
          <w:rFonts w:ascii="微软雅黑" w:hAnsi="微软雅黑" w:eastAsia="微软雅黑"/>
          <w:sz w:val="24"/>
          <w:szCs w:val="24"/>
        </w:rPr>
      </w:pPr>
      <w:r>
        <w:rPr>
          <w:rFonts w:hint="eastAsia" w:ascii="微软雅黑" w:hAnsi="微软雅黑" w:eastAsia="微软雅黑"/>
          <w:b/>
          <w:sz w:val="24"/>
          <w:szCs w:val="24"/>
        </w:rPr>
        <w:t>优越的工作环境</w:t>
      </w:r>
    </w:p>
    <w:p>
      <w:pPr>
        <w:ind w:left="900"/>
        <w:jc w:val="left"/>
        <w:rPr>
          <w:rFonts w:ascii="微软雅黑" w:hAnsi="微软雅黑" w:eastAsia="微软雅黑"/>
          <w:sz w:val="24"/>
          <w:szCs w:val="24"/>
        </w:rPr>
      </w:pPr>
      <w:r>
        <w:rPr>
          <w:rFonts w:hint="eastAsia" w:ascii="微软雅黑" w:hAnsi="微软雅黑" w:eastAsia="微软雅黑"/>
          <w:sz w:val="24"/>
          <w:szCs w:val="24"/>
        </w:rPr>
        <w:t>公司所在地宜昌是中国优秀旅游城市，市内有4处国家5A级旅游景区；宜昌基地将建成绿色、节能、环保的花园式工厂，为员工打造优美、舒心的工作环境。</w:t>
      </w:r>
    </w:p>
    <w:p>
      <w:pPr>
        <w:pStyle w:val="12"/>
        <w:numPr>
          <w:ilvl w:val="0"/>
          <w:numId w:val="2"/>
        </w:numPr>
        <w:ind w:firstLineChars="0"/>
        <w:jc w:val="left"/>
        <w:rPr>
          <w:rFonts w:ascii="微软雅黑" w:hAnsi="微软雅黑" w:eastAsia="微软雅黑" w:cs="Arial"/>
          <w:b/>
          <w:kern w:val="0"/>
          <w:sz w:val="24"/>
          <w:szCs w:val="24"/>
        </w:rPr>
      </w:pPr>
      <w:r>
        <w:rPr>
          <w:rFonts w:hint="eastAsia" w:ascii="微软雅黑" w:hAnsi="微软雅黑" w:eastAsia="微软雅黑" w:cs="Arial"/>
          <w:b/>
          <w:kern w:val="0"/>
          <w:sz w:val="24"/>
          <w:szCs w:val="24"/>
        </w:rPr>
        <w:t>企业活动剪影</w:t>
      </w:r>
    </w:p>
    <w:p>
      <w:pPr>
        <w:pStyle w:val="12"/>
        <w:ind w:firstLineChars="0"/>
        <w:jc w:val="left"/>
        <w:rPr>
          <w:rFonts w:ascii="微软雅黑" w:hAnsi="微软雅黑" w:eastAsia="微软雅黑" w:cs="Arial"/>
          <w:b/>
          <w:kern w:val="0"/>
          <w:sz w:val="24"/>
          <w:szCs w:val="24"/>
        </w:rPr>
      </w:pPr>
    </w:p>
    <w:p>
      <w:pPr>
        <w:pStyle w:val="12"/>
        <w:ind w:firstLineChars="0"/>
        <w:jc w:val="left"/>
        <w:rPr>
          <w:rFonts w:ascii="微软雅黑" w:hAnsi="微软雅黑" w:eastAsia="微软雅黑" w:cs="Arial"/>
          <w:kern w:val="0"/>
          <w:sz w:val="24"/>
          <w:szCs w:val="24"/>
        </w:rPr>
      </w:pPr>
      <w:r>
        <w:rPr>
          <w:rFonts w:ascii="微软雅黑" w:hAnsi="微软雅黑" w:eastAsia="微软雅黑" w:cs="Arial"/>
          <w:kern w:val="0"/>
          <w:sz w:val="24"/>
          <w:szCs w:val="24"/>
        </w:rPr>
        <w:drawing>
          <wp:inline distT="0" distB="0" distL="0" distR="0">
            <wp:extent cx="2400935" cy="1558290"/>
            <wp:effectExtent l="0" t="0" r="0" b="3810"/>
            <wp:docPr id="5" name="图片 4" descr="图片包含 地板, 室内, 运动, 建筑物&#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片包含 地板, 室内, 运动, 建筑物&#10;&#10;已生成极高可信度的说明"/>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986" cy="1571884"/>
                    </a:xfrm>
                    <a:prstGeom prst="rect">
                      <a:avLst/>
                    </a:prstGeom>
                  </pic:spPr>
                </pic:pic>
              </a:graphicData>
            </a:graphic>
          </wp:inline>
        </w:drawing>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r>
        <w:rPr>
          <w:rFonts w:ascii="微软雅黑" w:hAnsi="微软雅黑" w:eastAsia="微软雅黑" w:cs="Arial"/>
          <w:kern w:val="0"/>
          <w:sz w:val="24"/>
          <w:szCs w:val="24"/>
        </w:rPr>
        <w:drawing>
          <wp:inline distT="0" distB="0" distL="0" distR="0">
            <wp:extent cx="2400935" cy="1565910"/>
            <wp:effectExtent l="0" t="0" r="0" b="0"/>
            <wp:docPr id="1" name="图片 4" descr="图片包含 天空, 地面, 户外, 玩具&#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图片包含 天空, 地面, 户外, 玩具&#10;&#10;已生成极高可信度的说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996" cy="1575345"/>
                    </a:xfrm>
                    <a:prstGeom prst="rect">
                      <a:avLst/>
                    </a:prstGeom>
                  </pic:spPr>
                </pic:pic>
              </a:graphicData>
            </a:graphic>
          </wp:inline>
        </w:drawing>
      </w:r>
    </w:p>
    <w:p>
      <w:pPr>
        <w:pStyle w:val="12"/>
        <w:ind w:firstLineChars="0"/>
        <w:jc w:val="left"/>
        <w:rPr>
          <w:rFonts w:asciiTheme="minorHAnsi" w:hAnsiTheme="minorHAnsi" w:eastAsiaTheme="minorEastAsia" w:cstheme="minorBidi"/>
        </w:rPr>
      </w:pPr>
      <w:r>
        <w:rPr>
          <w:rFonts w:ascii="微软雅黑" w:hAnsi="微软雅黑" w:eastAsia="微软雅黑" w:cs="Arial"/>
          <w:kern w:val="0"/>
          <w:sz w:val="24"/>
          <w:szCs w:val="24"/>
        </w:rPr>
        <w:drawing>
          <wp:inline distT="0" distB="0" distL="0" distR="0">
            <wp:extent cx="2400935" cy="1526540"/>
            <wp:effectExtent l="0" t="0" r="0" b="0"/>
            <wp:docPr id="3" name="图片 4" descr="图片包含 建筑物, 蛋糕&#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图片包含 建筑物, 蛋糕&#10;&#10;已生成极高可信度的说明"/>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281" cy="1528549"/>
                    </a:xfrm>
                    <a:prstGeom prst="rect">
                      <a:avLst/>
                    </a:prstGeom>
                  </pic:spPr>
                </pic:pic>
              </a:graphicData>
            </a:graphic>
          </wp:inline>
        </w:drawing>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r>
        <w:rPr>
          <w:rFonts w:asciiTheme="minorHAnsi" w:hAnsiTheme="minorHAnsi" w:eastAsiaTheme="minorEastAsia" w:cstheme="minorBidi"/>
        </w:rPr>
        <w:drawing>
          <wp:inline distT="0" distB="0" distL="0" distR="0">
            <wp:extent cx="2400300" cy="1518285"/>
            <wp:effectExtent l="0" t="0" r="0" b="5715"/>
            <wp:docPr id="1026" name="Picture 2" descr="D:\工作内容\4、校园招聘\2019校园招聘\校园宣讲\图片\微信图片_2018092112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工作内容\4、校园招聘\2019校园招聘\校园宣讲\图片\微信图片_20180921121601.jpg"/>
                    <pic:cNvPicPr>
                      <a:picLocks noChangeAspect="1" noChangeArrowheads="1"/>
                    </pic:cNvPicPr>
                  </pic:nvPicPr>
                  <pic:blipFill>
                    <a:blip r:embed="rId8" cstate="print">
                      <a:extLst>
                        <a:ext uri="{28A0092B-C50C-407E-A947-70E740481C1C}">
                          <a14:useLocalDpi xmlns:a14="http://schemas.microsoft.com/office/drawing/2010/main" val="0"/>
                        </a:ext>
                      </a:extLst>
                    </a:blip>
                    <a:srcRect r="10748"/>
                    <a:stretch>
                      <a:fillRect/>
                    </a:stretch>
                  </pic:blipFill>
                  <pic:spPr>
                    <a:xfrm>
                      <a:off x="0" y="0"/>
                      <a:ext cx="2406180" cy="1521765"/>
                    </a:xfrm>
                    <a:prstGeom prst="rect">
                      <a:avLst/>
                    </a:prstGeom>
                    <a:noFill/>
                    <a:ln>
                      <a:noFill/>
                    </a:ln>
                  </pic:spPr>
                </pic:pic>
              </a:graphicData>
            </a:graphic>
          </wp:inline>
        </w:drawing>
      </w:r>
    </w:p>
    <w:p>
      <w:pPr>
        <w:pStyle w:val="12"/>
        <w:spacing w:line="360" w:lineRule="auto"/>
        <w:ind w:firstLine="0" w:firstLineChars="0"/>
        <w:jc w:val="left"/>
        <w:rPr>
          <w:rFonts w:ascii="微软雅黑" w:hAnsi="微软雅黑" w:eastAsia="微软雅黑"/>
          <w:b/>
          <w:sz w:val="28"/>
          <w:szCs w:val="28"/>
        </w:rPr>
      </w:pPr>
    </w:p>
    <w:p>
      <w:pPr>
        <w:pStyle w:val="12"/>
        <w:spacing w:line="360" w:lineRule="auto"/>
        <w:ind w:firstLine="0" w:firstLineChars="0"/>
        <w:jc w:val="left"/>
        <w:rPr>
          <w:rFonts w:ascii="微软雅黑" w:hAnsi="微软雅黑" w:eastAsia="微软雅黑"/>
          <w:b/>
          <w:sz w:val="28"/>
          <w:szCs w:val="28"/>
        </w:rPr>
      </w:pPr>
      <w:r>
        <w:rPr>
          <w:rFonts w:hint="eastAsia" w:ascii="微软雅黑" w:hAnsi="微软雅黑" w:eastAsia="微软雅黑"/>
          <w:b/>
          <w:sz w:val="28"/>
          <w:szCs w:val="28"/>
        </w:rPr>
        <w:t>三、招聘岗位</w:t>
      </w:r>
      <w:r>
        <w:rPr>
          <w:sz w:val="28"/>
          <w:szCs w:val="28"/>
        </w:rPr>
        <w:fldChar w:fldCharType="begin"/>
      </w:r>
      <w:r>
        <w:rPr>
          <w:sz w:val="28"/>
          <w:szCs w:val="28"/>
        </w:rPr>
        <w:instrText xml:space="preserve"> LINK Excel.Sheet.12 "C:\\Users\\Administrator\\Desktop\\2019校园招聘\\服务清单.xlsx" "岗位类别!R1C1:R7C4" \a \f 4 \h  \* MERGEFORMAT </w:instrText>
      </w:r>
      <w:r>
        <w:rPr>
          <w:sz w:val="28"/>
          <w:szCs w:val="28"/>
        </w:rPr>
        <w:fldChar w:fldCharType="separate"/>
      </w:r>
    </w:p>
    <w:tbl>
      <w:tblPr>
        <w:tblStyle w:val="8"/>
        <w:tblW w:w="10773" w:type="dxa"/>
        <w:tblInd w:w="-459" w:type="dxa"/>
        <w:tblLayout w:type="fixed"/>
        <w:tblCellMar>
          <w:top w:w="0" w:type="dxa"/>
          <w:left w:w="108" w:type="dxa"/>
          <w:bottom w:w="0" w:type="dxa"/>
          <w:right w:w="108" w:type="dxa"/>
        </w:tblCellMar>
      </w:tblPr>
      <w:tblGrid>
        <w:gridCol w:w="709"/>
        <w:gridCol w:w="1276"/>
        <w:gridCol w:w="4819"/>
        <w:gridCol w:w="3969"/>
      </w:tblGrid>
      <w:tr>
        <w:tblPrEx>
          <w:tblLayout w:type="fixed"/>
          <w:tblCellMar>
            <w:top w:w="0" w:type="dxa"/>
            <w:left w:w="108" w:type="dxa"/>
            <w:bottom w:w="0" w:type="dxa"/>
            <w:right w:w="108" w:type="dxa"/>
          </w:tblCellMar>
        </w:tblPrEx>
        <w:trPr>
          <w:trHeight w:val="719" w:hRule="atLeast"/>
        </w:trPr>
        <w:tc>
          <w:tcPr>
            <w:tcW w:w="709" w:type="dxa"/>
            <w:tcBorders>
              <w:top w:val="single" w:color="auto" w:sz="4" w:space="0"/>
              <w:left w:val="single" w:color="auto" w:sz="4" w:space="0"/>
              <w:bottom w:val="single" w:color="auto" w:sz="4" w:space="0"/>
              <w:right w:val="single" w:color="auto" w:sz="4" w:space="0"/>
            </w:tcBorders>
            <w:shd w:val="clear" w:color="000000" w:fill="F4B084"/>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序号</w:t>
            </w:r>
          </w:p>
        </w:tc>
        <w:tc>
          <w:tcPr>
            <w:tcW w:w="1276" w:type="dxa"/>
            <w:tcBorders>
              <w:top w:val="single" w:color="auto" w:sz="4" w:space="0"/>
              <w:left w:val="nil"/>
              <w:bottom w:val="single" w:color="auto" w:sz="4" w:space="0"/>
              <w:right w:val="single" w:color="auto" w:sz="4" w:space="0"/>
            </w:tcBorders>
            <w:shd w:val="clear" w:color="000000" w:fill="F4B084"/>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类别</w:t>
            </w:r>
          </w:p>
        </w:tc>
        <w:tc>
          <w:tcPr>
            <w:tcW w:w="4819" w:type="dxa"/>
            <w:tcBorders>
              <w:top w:val="single" w:color="auto" w:sz="4" w:space="0"/>
              <w:left w:val="nil"/>
              <w:bottom w:val="single" w:color="auto" w:sz="4" w:space="0"/>
              <w:right w:val="single" w:color="auto" w:sz="4" w:space="0"/>
            </w:tcBorders>
            <w:shd w:val="clear" w:color="000000" w:fill="F4B084"/>
            <w:vAlign w:val="center"/>
          </w:tcPr>
          <w:p>
            <w:pPr>
              <w:widowControl/>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职责</w:t>
            </w:r>
          </w:p>
        </w:tc>
        <w:tc>
          <w:tcPr>
            <w:tcW w:w="3969" w:type="dxa"/>
            <w:tcBorders>
              <w:top w:val="single" w:color="auto" w:sz="4" w:space="0"/>
              <w:left w:val="nil"/>
              <w:bottom w:val="single" w:color="auto" w:sz="4" w:space="0"/>
              <w:right w:val="single" w:color="auto" w:sz="4" w:space="0"/>
            </w:tcBorders>
            <w:shd w:val="clear" w:color="000000" w:fill="F4B084"/>
            <w:vAlign w:val="center"/>
          </w:tcPr>
          <w:p>
            <w:pPr>
              <w:widowControl/>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需求专业</w:t>
            </w:r>
          </w:p>
        </w:tc>
      </w:tr>
      <w:tr>
        <w:tblPrEx>
          <w:tblLayout w:type="fixed"/>
          <w:tblCellMar>
            <w:top w:w="0" w:type="dxa"/>
            <w:left w:w="108" w:type="dxa"/>
            <w:bottom w:w="0" w:type="dxa"/>
            <w:right w:w="108" w:type="dxa"/>
          </w:tblCellMar>
        </w:tblPrEx>
        <w:trPr>
          <w:trHeight w:val="114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工艺技术类</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协助产品研发与工业化实现的对接，运用专业或者技术解决和处理现场生产问题，完成工厂能扩及新产品试验认证、工艺规划和生产设备导入等项目，实现公司整车产品的生产试制、准时生产与品质保证。</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汽车类、机械类、材料类、化工类、电气类、通信电子类、物流管理、供应链管理、工业工程等</w:t>
            </w:r>
          </w:p>
        </w:tc>
      </w:tr>
      <w:tr>
        <w:tblPrEx>
          <w:tblLayout w:type="fixed"/>
          <w:tblCellMar>
            <w:top w:w="0" w:type="dxa"/>
            <w:left w:w="108" w:type="dxa"/>
            <w:bottom w:w="0" w:type="dxa"/>
            <w:right w:w="108" w:type="dxa"/>
          </w:tblCellMar>
        </w:tblPrEx>
        <w:trPr>
          <w:trHeight w:val="86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品质技术类</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针对整车生产准备阶段及量产过程中出现的质量问题或市场反馈质量信息进行分析并解决，以及供应商的品质监察及品质培育等方面的工作。</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汽车类、机械类、材料类、化工类、电气类、通信电子类、工业工程等</w:t>
            </w:r>
          </w:p>
        </w:tc>
      </w:tr>
      <w:tr>
        <w:tblPrEx>
          <w:tblLayout w:type="fixed"/>
          <w:tblCellMar>
            <w:top w:w="0" w:type="dxa"/>
            <w:left w:w="108" w:type="dxa"/>
            <w:bottom w:w="0" w:type="dxa"/>
            <w:right w:w="108" w:type="dxa"/>
          </w:tblCellMar>
        </w:tblPrEx>
        <w:trPr>
          <w:trHeight w:val="86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管理类</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xml:space="preserve"> 为公司运营提供职能支持，主要从事人力资源、综合管理、生产计划、物流与控制、零部件及一般采购、企划、法务、财务、安全管理等方面的工作。</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人力资源管理、企业管理、物流管理、汽车类、机械类、法学、财务管理、安全工程等</w:t>
            </w:r>
          </w:p>
        </w:tc>
      </w:tr>
      <w:tr>
        <w:tblPrEx>
          <w:tblLayout w:type="fixed"/>
          <w:tblCellMar>
            <w:top w:w="0" w:type="dxa"/>
            <w:left w:w="108" w:type="dxa"/>
            <w:bottom w:w="0" w:type="dxa"/>
            <w:right w:w="108" w:type="dxa"/>
          </w:tblCellMar>
        </w:tblPrEx>
        <w:trPr>
          <w:trHeight w:val="111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IT类</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使用计算机工具从事ERP系统、销售系统、生产系统等开发运维工作，完成服务器管理、数据库管理等方面的工作。</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信息管理与信息系统、软件工程、计算机科学与技术、数学与应用数学等</w:t>
            </w:r>
          </w:p>
        </w:tc>
      </w:tr>
    </w:tbl>
    <w:p>
      <w:pPr>
        <w:pStyle w:val="12"/>
        <w:ind w:firstLine="0" w:firstLineChars="0"/>
        <w:rPr>
          <w:rFonts w:ascii="微软雅黑" w:hAnsi="微软雅黑" w:eastAsia="微软雅黑"/>
          <w:b/>
          <w:sz w:val="28"/>
          <w:szCs w:val="28"/>
        </w:rPr>
      </w:pPr>
      <w:r>
        <w:rPr>
          <w:rFonts w:ascii="微软雅黑" w:hAnsi="微软雅黑" w:eastAsia="微软雅黑"/>
          <w:sz w:val="18"/>
          <w:szCs w:val="18"/>
        </w:rPr>
        <w:fldChar w:fldCharType="end"/>
      </w:r>
      <w:r>
        <w:rPr>
          <w:rFonts w:hint="eastAsia" w:ascii="微软雅黑" w:hAnsi="微软雅黑" w:eastAsia="微软雅黑"/>
          <w:b/>
          <w:sz w:val="28"/>
          <w:szCs w:val="28"/>
        </w:rPr>
        <w:t>四、应聘要求</w:t>
      </w:r>
    </w:p>
    <w:p>
      <w:pPr>
        <w:pStyle w:val="12"/>
        <w:ind w:firstLine="0" w:firstLineChars="0"/>
        <w:rPr>
          <w:rFonts w:ascii="微软雅黑" w:hAnsi="微软雅黑" w:eastAsia="微软雅黑"/>
          <w:sz w:val="24"/>
          <w:szCs w:val="24"/>
        </w:rPr>
      </w:pPr>
      <w:r>
        <w:rPr>
          <w:rFonts w:hint="eastAsia" w:ascii="微软雅黑" w:hAnsi="微软雅黑" w:eastAsia="微软雅黑"/>
          <w:sz w:val="24"/>
          <w:szCs w:val="24"/>
        </w:rPr>
        <w:t>1.本科及以上学历，能按时获得学历及学位证书的2019届应届毕业生</w:t>
      </w:r>
    </w:p>
    <w:p>
      <w:pPr>
        <w:pStyle w:val="12"/>
        <w:ind w:firstLine="0" w:firstLineChars="0"/>
        <w:rPr>
          <w:rFonts w:ascii="微软雅黑" w:hAnsi="微软雅黑" w:eastAsia="微软雅黑"/>
          <w:sz w:val="24"/>
          <w:szCs w:val="24"/>
        </w:rPr>
      </w:pPr>
      <w:r>
        <w:rPr>
          <w:rFonts w:hint="eastAsia" w:ascii="微软雅黑" w:hAnsi="微软雅黑" w:eastAsia="微软雅黑"/>
          <w:sz w:val="24"/>
          <w:szCs w:val="24"/>
        </w:rPr>
        <w:t>2.学习成绩优良，通过大学英语四级，大学期间原则上无重修、补考记录</w:t>
      </w:r>
    </w:p>
    <w:p>
      <w:pPr>
        <w:pStyle w:val="12"/>
        <w:ind w:firstLine="0" w:firstLineChars="0"/>
        <w:rPr>
          <w:rFonts w:ascii="微软雅黑" w:hAnsi="微软雅黑" w:eastAsia="微软雅黑"/>
          <w:sz w:val="24"/>
          <w:szCs w:val="24"/>
        </w:rPr>
      </w:pPr>
      <w:r>
        <w:rPr>
          <w:rFonts w:hint="eastAsia" w:ascii="微软雅黑" w:hAnsi="微软雅黑" w:eastAsia="微软雅黑"/>
          <w:sz w:val="24"/>
          <w:szCs w:val="24"/>
        </w:rPr>
        <w:t>3.具有良好的在校表现和社会实践经历</w:t>
      </w:r>
    </w:p>
    <w:p>
      <w:pPr>
        <w:pStyle w:val="12"/>
        <w:ind w:firstLine="0" w:firstLineChars="0"/>
        <w:rPr>
          <w:rFonts w:ascii="微软雅黑" w:hAnsi="微软雅黑" w:eastAsia="微软雅黑"/>
          <w:sz w:val="24"/>
          <w:szCs w:val="24"/>
        </w:rPr>
      </w:pPr>
      <w:r>
        <w:rPr>
          <w:rFonts w:hint="eastAsia" w:ascii="微软雅黑" w:hAnsi="微软雅黑" w:eastAsia="微软雅黑"/>
          <w:sz w:val="24"/>
          <w:szCs w:val="24"/>
        </w:rPr>
        <w:t>4.具有良好的沟通能力和团队协作精神，认真负责、乐观进取</w:t>
      </w:r>
    </w:p>
    <w:p>
      <w:pPr>
        <w:pStyle w:val="12"/>
        <w:ind w:firstLine="0" w:firstLineChars="0"/>
        <w:rPr>
          <w:rFonts w:ascii="微软雅黑" w:hAnsi="微软雅黑" w:eastAsia="微软雅黑"/>
          <w:b/>
          <w:sz w:val="24"/>
          <w:szCs w:val="24"/>
        </w:rPr>
      </w:pPr>
      <w:r>
        <w:rPr>
          <w:rFonts w:hint="eastAsia" w:ascii="微软雅黑" w:hAnsi="微软雅黑" w:eastAsia="微软雅黑"/>
          <w:sz w:val="24"/>
          <w:szCs w:val="24"/>
        </w:rPr>
        <w:t>5.热爱汽车并熟悉行业发展者优先考虑</w:t>
      </w:r>
    </w:p>
    <w:p>
      <w:pPr>
        <w:pStyle w:val="12"/>
        <w:spacing w:line="360" w:lineRule="auto"/>
        <w:ind w:firstLine="0" w:firstLineChars="0"/>
        <w:jc w:val="left"/>
        <w:rPr>
          <w:rFonts w:ascii="微软雅黑" w:hAnsi="微软雅黑" w:eastAsia="微软雅黑"/>
          <w:b/>
          <w:sz w:val="28"/>
          <w:szCs w:val="28"/>
        </w:rPr>
      </w:pPr>
      <w:r>
        <w:rPr>
          <w:rFonts w:hint="eastAsia" w:ascii="微软雅黑" w:hAnsi="微软雅黑" w:eastAsia="微软雅黑"/>
          <w:b/>
          <w:sz w:val="28"/>
          <w:szCs w:val="28"/>
        </w:rPr>
        <w:t>五、联系方式</w:t>
      </w:r>
    </w:p>
    <w:p>
      <w:pPr>
        <w:spacing w:line="360" w:lineRule="auto"/>
        <w:jc w:val="left"/>
        <w:rPr>
          <w:rFonts w:ascii="微软雅黑" w:hAnsi="微软雅黑" w:eastAsia="微软雅黑"/>
          <w:sz w:val="24"/>
          <w:szCs w:val="24"/>
          <w:u w:val="single"/>
        </w:rPr>
      </w:pPr>
      <w:r>
        <w:rPr>
          <w:rFonts w:hint="eastAsia" w:ascii="微软雅黑" w:hAnsi="微软雅黑" w:eastAsia="微软雅黑" w:cs="Arial"/>
          <w:sz w:val="24"/>
          <w:szCs w:val="24"/>
        </w:rPr>
        <w:t>1、简历</w:t>
      </w:r>
      <w:r>
        <w:rPr>
          <w:rFonts w:ascii="微软雅黑" w:hAnsi="微软雅黑" w:eastAsia="微软雅黑" w:cs="Arial"/>
          <w:sz w:val="24"/>
          <w:szCs w:val="24"/>
        </w:rPr>
        <w:t>投递</w:t>
      </w:r>
      <w:r>
        <w:rPr>
          <w:rFonts w:hint="eastAsia" w:ascii="微软雅黑" w:hAnsi="微软雅黑" w:eastAsia="微软雅黑" w:cs="Arial"/>
          <w:sz w:val="24"/>
          <w:szCs w:val="24"/>
        </w:rPr>
        <w:t>邮箱：</w:t>
      </w:r>
      <w:r>
        <w:fldChar w:fldCharType="begin"/>
      </w:r>
      <w:r>
        <w:instrText xml:space="preserve"> HYPERLINK "mailto:GAC-YC@yc.gacmotor.com" </w:instrText>
      </w:r>
      <w:r>
        <w:fldChar w:fldCharType="separate"/>
      </w:r>
      <w:r>
        <w:rPr>
          <w:rStyle w:val="7"/>
          <w:rFonts w:hint="eastAsia" w:ascii="微软雅黑" w:hAnsi="微软雅黑" w:eastAsia="微软雅黑"/>
          <w:sz w:val="24"/>
          <w:szCs w:val="24"/>
        </w:rPr>
        <w:t>GAC-YC@yc.gacmotor.com</w:t>
      </w:r>
      <w:r>
        <w:rPr>
          <w:rStyle w:val="7"/>
          <w:rFonts w:hint="eastAsia" w:ascii="微软雅黑" w:hAnsi="微软雅黑" w:eastAsia="微软雅黑"/>
          <w:sz w:val="24"/>
          <w:szCs w:val="24"/>
        </w:rPr>
        <w:fldChar w:fldCharType="end"/>
      </w:r>
    </w:p>
    <w:p>
      <w:pPr>
        <w:spacing w:line="360" w:lineRule="auto"/>
        <w:jc w:val="left"/>
        <w:rPr>
          <w:rFonts w:ascii="微软雅黑" w:hAnsi="微软雅黑" w:eastAsia="微软雅黑"/>
          <w:sz w:val="24"/>
          <w:szCs w:val="24"/>
        </w:rPr>
      </w:pPr>
      <w:r>
        <w:rPr>
          <w:rFonts w:hint="eastAsia" w:ascii="微软雅黑" w:hAnsi="微软雅黑" w:eastAsia="微软雅黑" w:cs="Arial"/>
          <w:sz w:val="24"/>
          <w:szCs w:val="24"/>
        </w:rPr>
        <w:t>2、</w:t>
      </w:r>
      <w:r>
        <w:rPr>
          <w:rFonts w:hint="eastAsia" w:ascii="微软雅黑" w:hAnsi="微软雅黑" w:eastAsia="微软雅黑"/>
          <w:sz w:val="24"/>
          <w:szCs w:val="24"/>
        </w:rPr>
        <w:t>联系电话：0717-6947112</w:t>
      </w:r>
    </w:p>
    <w:p>
      <w:pPr>
        <w:spacing w:line="360" w:lineRule="auto"/>
        <w:jc w:val="left"/>
        <w:rPr>
          <w:rFonts w:ascii="微软雅黑" w:hAnsi="微软雅黑" w:eastAsia="微软雅黑" w:cs="Arial"/>
          <w:sz w:val="24"/>
          <w:szCs w:val="24"/>
        </w:rPr>
      </w:pPr>
      <w:r>
        <w:rPr>
          <w:rFonts w:hint="eastAsia" w:ascii="微软雅黑" w:hAnsi="微软雅黑" w:eastAsia="微软雅黑" w:cs="Arial"/>
          <w:sz w:val="24"/>
          <w:szCs w:val="24"/>
          <w:highlight w:val="yellow"/>
        </w:rPr>
        <w:t>3、投递二维码</w:t>
      </w:r>
    </w:p>
    <w:p>
      <w:pPr>
        <w:spacing w:line="360" w:lineRule="auto"/>
        <w:jc w:val="left"/>
        <w:rPr>
          <w:rFonts w:ascii="微软雅黑" w:hAnsi="微软雅黑" w:eastAsia="微软雅黑" w:cs="Arial"/>
          <w:sz w:val="24"/>
          <w:szCs w:val="24"/>
        </w:rPr>
      </w:pP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1762760" cy="263525"/>
          <wp:effectExtent l="0" t="0" r="0" b="317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
                  <a:srcRect/>
                  <a:stretch>
                    <a:fillRect/>
                  </a:stretch>
                </pic:blipFill>
                <pic:spPr>
                  <a:xfrm>
                    <a:off x="0" y="0"/>
                    <a:ext cx="1763300" cy="2639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7C86"/>
    <w:multiLevelType w:val="multilevel"/>
    <w:tmpl w:val="3E157C8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EE344D7"/>
    <w:multiLevelType w:val="multilevel"/>
    <w:tmpl w:val="3EE344D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36"/>
    <w:rsid w:val="0000005F"/>
    <w:rsid w:val="00004189"/>
    <w:rsid w:val="0000460F"/>
    <w:rsid w:val="00012287"/>
    <w:rsid w:val="00012E9F"/>
    <w:rsid w:val="00026948"/>
    <w:rsid w:val="00061383"/>
    <w:rsid w:val="00062465"/>
    <w:rsid w:val="000918CD"/>
    <w:rsid w:val="000A2BC9"/>
    <w:rsid w:val="000E1682"/>
    <w:rsid w:val="000E3E89"/>
    <w:rsid w:val="00113071"/>
    <w:rsid w:val="001156F7"/>
    <w:rsid w:val="00144209"/>
    <w:rsid w:val="00145B41"/>
    <w:rsid w:val="001520A5"/>
    <w:rsid w:val="00157DC4"/>
    <w:rsid w:val="001719C5"/>
    <w:rsid w:val="0018710F"/>
    <w:rsid w:val="0018741C"/>
    <w:rsid w:val="00191665"/>
    <w:rsid w:val="00193219"/>
    <w:rsid w:val="0023169C"/>
    <w:rsid w:val="002346D6"/>
    <w:rsid w:val="00284AAD"/>
    <w:rsid w:val="002858FE"/>
    <w:rsid w:val="002941A9"/>
    <w:rsid w:val="002E0A25"/>
    <w:rsid w:val="002E0A77"/>
    <w:rsid w:val="002F11E8"/>
    <w:rsid w:val="002F15CA"/>
    <w:rsid w:val="003066CB"/>
    <w:rsid w:val="00314AC8"/>
    <w:rsid w:val="00325EA8"/>
    <w:rsid w:val="00326A53"/>
    <w:rsid w:val="00330643"/>
    <w:rsid w:val="003932D6"/>
    <w:rsid w:val="00396AB4"/>
    <w:rsid w:val="003A4B7D"/>
    <w:rsid w:val="003C1EF7"/>
    <w:rsid w:val="003C5A48"/>
    <w:rsid w:val="003D01C6"/>
    <w:rsid w:val="003E6A35"/>
    <w:rsid w:val="0040374E"/>
    <w:rsid w:val="00423C35"/>
    <w:rsid w:val="004267CA"/>
    <w:rsid w:val="00434B8C"/>
    <w:rsid w:val="00443896"/>
    <w:rsid w:val="004549B4"/>
    <w:rsid w:val="0045612B"/>
    <w:rsid w:val="004831A2"/>
    <w:rsid w:val="004A0D10"/>
    <w:rsid w:val="004A2540"/>
    <w:rsid w:val="004A6A81"/>
    <w:rsid w:val="004F3DBC"/>
    <w:rsid w:val="005004FD"/>
    <w:rsid w:val="0050190B"/>
    <w:rsid w:val="00510E10"/>
    <w:rsid w:val="0051309B"/>
    <w:rsid w:val="00516074"/>
    <w:rsid w:val="005509B7"/>
    <w:rsid w:val="005534ED"/>
    <w:rsid w:val="00561E67"/>
    <w:rsid w:val="00565B4B"/>
    <w:rsid w:val="005708C6"/>
    <w:rsid w:val="005A0045"/>
    <w:rsid w:val="005B3FFE"/>
    <w:rsid w:val="005F0990"/>
    <w:rsid w:val="005F0D08"/>
    <w:rsid w:val="006026F6"/>
    <w:rsid w:val="00627A0E"/>
    <w:rsid w:val="0064541C"/>
    <w:rsid w:val="00670965"/>
    <w:rsid w:val="00681420"/>
    <w:rsid w:val="00690090"/>
    <w:rsid w:val="006B2C9C"/>
    <w:rsid w:val="006F750B"/>
    <w:rsid w:val="00707CC5"/>
    <w:rsid w:val="007355B3"/>
    <w:rsid w:val="007601D2"/>
    <w:rsid w:val="00771DC7"/>
    <w:rsid w:val="0077316E"/>
    <w:rsid w:val="00774928"/>
    <w:rsid w:val="00775CB0"/>
    <w:rsid w:val="00780CCE"/>
    <w:rsid w:val="007836EB"/>
    <w:rsid w:val="007A73E2"/>
    <w:rsid w:val="007B4CB8"/>
    <w:rsid w:val="007B7A67"/>
    <w:rsid w:val="007D3E62"/>
    <w:rsid w:val="007D7186"/>
    <w:rsid w:val="007E518C"/>
    <w:rsid w:val="00801E92"/>
    <w:rsid w:val="00807306"/>
    <w:rsid w:val="00823D4A"/>
    <w:rsid w:val="008415DE"/>
    <w:rsid w:val="00877B7C"/>
    <w:rsid w:val="0088252A"/>
    <w:rsid w:val="00896A33"/>
    <w:rsid w:val="008B18B7"/>
    <w:rsid w:val="008B445C"/>
    <w:rsid w:val="008B4570"/>
    <w:rsid w:val="008D4537"/>
    <w:rsid w:val="008E72E1"/>
    <w:rsid w:val="008F7341"/>
    <w:rsid w:val="00900E8E"/>
    <w:rsid w:val="00906901"/>
    <w:rsid w:val="00944E6B"/>
    <w:rsid w:val="009500D2"/>
    <w:rsid w:val="00952D13"/>
    <w:rsid w:val="00980E94"/>
    <w:rsid w:val="009A0AFC"/>
    <w:rsid w:val="009A0BAE"/>
    <w:rsid w:val="009A775D"/>
    <w:rsid w:val="009D20CC"/>
    <w:rsid w:val="009E4465"/>
    <w:rsid w:val="009E46CF"/>
    <w:rsid w:val="009F23D2"/>
    <w:rsid w:val="009F4E26"/>
    <w:rsid w:val="00A05BF6"/>
    <w:rsid w:val="00A43B27"/>
    <w:rsid w:val="00A60C91"/>
    <w:rsid w:val="00A7193E"/>
    <w:rsid w:val="00A871FC"/>
    <w:rsid w:val="00AB2C1C"/>
    <w:rsid w:val="00AE035A"/>
    <w:rsid w:val="00AE3773"/>
    <w:rsid w:val="00B036C6"/>
    <w:rsid w:val="00B0423E"/>
    <w:rsid w:val="00B1535B"/>
    <w:rsid w:val="00B23404"/>
    <w:rsid w:val="00B36AA3"/>
    <w:rsid w:val="00B3744A"/>
    <w:rsid w:val="00B416BE"/>
    <w:rsid w:val="00B67D6D"/>
    <w:rsid w:val="00B71059"/>
    <w:rsid w:val="00BA20D1"/>
    <w:rsid w:val="00BB6AD7"/>
    <w:rsid w:val="00BD68D1"/>
    <w:rsid w:val="00BD7EAE"/>
    <w:rsid w:val="00BE0B09"/>
    <w:rsid w:val="00BE41D3"/>
    <w:rsid w:val="00BE5DA0"/>
    <w:rsid w:val="00C2032F"/>
    <w:rsid w:val="00C218FA"/>
    <w:rsid w:val="00C258CB"/>
    <w:rsid w:val="00C35397"/>
    <w:rsid w:val="00C412C9"/>
    <w:rsid w:val="00C4545C"/>
    <w:rsid w:val="00C54315"/>
    <w:rsid w:val="00C60678"/>
    <w:rsid w:val="00C72EE2"/>
    <w:rsid w:val="00C74A08"/>
    <w:rsid w:val="00C955AC"/>
    <w:rsid w:val="00CA5B8A"/>
    <w:rsid w:val="00CB4805"/>
    <w:rsid w:val="00CB77B8"/>
    <w:rsid w:val="00CC0565"/>
    <w:rsid w:val="00CC5369"/>
    <w:rsid w:val="00CE3BC0"/>
    <w:rsid w:val="00D03026"/>
    <w:rsid w:val="00D0304F"/>
    <w:rsid w:val="00D03840"/>
    <w:rsid w:val="00D2091F"/>
    <w:rsid w:val="00D2254E"/>
    <w:rsid w:val="00D344C8"/>
    <w:rsid w:val="00D3603E"/>
    <w:rsid w:val="00D738C6"/>
    <w:rsid w:val="00D77A35"/>
    <w:rsid w:val="00DA4E71"/>
    <w:rsid w:val="00DB06E6"/>
    <w:rsid w:val="00DC3936"/>
    <w:rsid w:val="00DD4306"/>
    <w:rsid w:val="00DE28D1"/>
    <w:rsid w:val="00DE4115"/>
    <w:rsid w:val="00DE6C03"/>
    <w:rsid w:val="00E20F6D"/>
    <w:rsid w:val="00E35160"/>
    <w:rsid w:val="00E607D4"/>
    <w:rsid w:val="00E646CD"/>
    <w:rsid w:val="00E72349"/>
    <w:rsid w:val="00E7425D"/>
    <w:rsid w:val="00E76F55"/>
    <w:rsid w:val="00E90B99"/>
    <w:rsid w:val="00E913A4"/>
    <w:rsid w:val="00EA3642"/>
    <w:rsid w:val="00EA4D90"/>
    <w:rsid w:val="00EA7933"/>
    <w:rsid w:val="00EB4D20"/>
    <w:rsid w:val="00EC4886"/>
    <w:rsid w:val="00ED71A7"/>
    <w:rsid w:val="00EF6B8A"/>
    <w:rsid w:val="00F12105"/>
    <w:rsid w:val="00F27B08"/>
    <w:rsid w:val="00F70DAA"/>
    <w:rsid w:val="00F74611"/>
    <w:rsid w:val="00F76D09"/>
    <w:rsid w:val="00F90FAF"/>
    <w:rsid w:val="00F96A69"/>
    <w:rsid w:val="00FB45E4"/>
    <w:rsid w:val="00FC0E4C"/>
    <w:rsid w:val="00FF3A17"/>
    <w:rsid w:val="08EC42C6"/>
    <w:rsid w:val="145B1DDA"/>
    <w:rsid w:val="3E8401E4"/>
    <w:rsid w:val="7E0B5A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paragraph" w:customStyle="1" w:styleId="12">
    <w:name w:val="列出段落1"/>
    <w:basedOn w:val="1"/>
    <w:qFormat/>
    <w:uiPriority w:val="34"/>
    <w:pPr>
      <w:ind w:firstLine="420" w:firstLineChars="200"/>
    </w:pPr>
    <w:rPr>
      <w:rFonts w:ascii="Calibri" w:hAnsi="Calibri" w:eastAsia="宋体" w:cs="Times New Roman"/>
    </w:rPr>
  </w:style>
  <w:style w:type="character" w:customStyle="1" w:styleId="13">
    <w:name w:val="批注框文本 Char"/>
    <w:basedOn w:val="6"/>
    <w:link w:val="2"/>
    <w:semiHidden/>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375</Words>
  <Characters>2139</Characters>
  <Lines>17</Lines>
  <Paragraphs>5</Paragraphs>
  <TotalTime>6</TotalTime>
  <ScaleCrop>false</ScaleCrop>
  <LinksUpToDate>false</LinksUpToDate>
  <CharactersWithSpaces>2509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2019-03-02T05:31:00Z</dcterms:created>
  <dc:creator>ithelp</dc:creator>
  <cp:lastModifiedBy>linjie</cp:lastModifiedBy>
  <cp:lastPrinted>2018-08-01T13:55:00Z</cp:lastPrinted>
  <dcterms:modified xsi:type="dcterms:W3CDTF">2019-03-06T01:58:55Z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