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根据《西南交通大学师资补充工作实施办法（试行）》和《西南交通大学教师岗位公开招聘工作管理办法（修订）》的要求，现对信息科学与技术学院拟面试的应聘人员予以匿名公示如下：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sz w:val="28"/>
          <w:szCs w:val="28"/>
        </w:rPr>
        <w:t>年度公开招聘应聘人员情况</w:t>
      </w:r>
    </w:p>
    <w:p>
      <w:pPr>
        <w:spacing w:line="360" w:lineRule="auto"/>
        <w:ind w:left="4" w:leftChars="-495" w:hanging="1043" w:hangingChars="433"/>
        <w:rPr>
          <w:rFonts w:hint="eastAsia" w:ascii="Times New Roman" w:hAnsi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应聘人员一：</w:t>
      </w:r>
    </w:p>
    <w:p>
      <w:pPr>
        <w:rPr>
          <w:rFonts w:hint="eastAsia"/>
          <w:szCs w:val="21"/>
        </w:rPr>
      </w:pPr>
    </w:p>
    <w:p>
      <w:pPr>
        <w:spacing w:line="360" w:lineRule="auto"/>
        <w:ind w:firstLine="241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 w:hAnsi="Times New Roman"/>
          <w:b/>
          <w:sz w:val="24"/>
          <w:szCs w:val="24"/>
        </w:rPr>
        <w:t>、基本情况</w:t>
      </w:r>
    </w:p>
    <w:tbl>
      <w:tblPr>
        <w:tblStyle w:val="4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067"/>
        <w:gridCol w:w="1417"/>
        <w:gridCol w:w="1913"/>
        <w:gridCol w:w="1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65" w:type="dxa"/>
          </w:tcPr>
          <w:p>
            <w:pPr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hint="eastAsia" w:ascii="宋体" w:hAnsi="Times New Roman"/>
                <w:color w:val="000000"/>
                <w:szCs w:val="24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刚毕业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hint="eastAsia" w:ascii="宋体" w:hAnsi="Times New Roman"/>
                <w:color w:val="000000"/>
                <w:szCs w:val="24"/>
              </w:rPr>
              <w:t>1988.11.09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澳门科技大学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65" w:type="dxa"/>
          </w:tcPr>
          <w:p>
            <w:pPr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戴弘宁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无兼职，目前参与一些国际期刊与会议的审稿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从事专业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宋体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（限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字以内）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个人主要研究方向：无线网络性能研究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400" w:firstLineChars="200"/>
              <w:jc w:val="left"/>
              <w:textAlignment w:val="auto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参与澳门科技发展基金项目2项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提出了使用定向天线的认知无线网络，并对其建模分析其连接性。研究表明使用定向天线可提高网络的连接性。该研究对如何提高认知网络的连接性有一定的意义。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</w:rPr>
              <w:t>首次使用定向天线对认知网络的二级网络进行无线充电，研究表明，使用定向天线可提高网络节点间的传输率。该研究对改变定向天线的参数来提高传输率有一定的指导意义。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首次对水下声音认知网络进行连接性分析。探明哪些参数影响水下认知网络的连接性，对如何有效提高水下认知网络的连接性有一定的意义。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首次对水下声音网络的被偷听率进行分析。探明哪些参数影响水下声音网络的被偷听率，对如何有效提高水下网络的安全性有一定的意义。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研究了不同定向天线对陆地自组织网络的连接性的影响。对如何更好地选择定向天线模型有参考的作用。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分别研究了不同天线模型（定向天线和全向天线）对网络安全的影响，研究改变定向天线的设置来减小网络被偷听的概率。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400" w:firstLineChars="200"/>
              <w:jc w:val="left"/>
              <w:textAlignment w:val="auto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以上成果发表学术论文20篇</w:t>
            </w:r>
            <w:r>
              <w:rPr>
                <w:rFonts w:ascii="宋体" w:hAnsi="宋体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sz w:val="20"/>
                <w:szCs w:val="20"/>
              </w:rPr>
              <w:t>第一或通讯作者10篇</w:t>
            </w:r>
            <w:r>
              <w:rPr>
                <w:rFonts w:ascii="宋体" w:hAnsi="宋体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sz w:val="20"/>
                <w:szCs w:val="20"/>
              </w:rPr>
              <w:t>，其中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收录8篇、</w:t>
            </w:r>
            <w:r>
              <w:rPr>
                <w:rFonts w:ascii="宋体" w:hAnsi="宋体"/>
                <w:sz w:val="20"/>
                <w:szCs w:val="20"/>
              </w:rPr>
              <w:t>EI</w:t>
            </w:r>
            <w:r>
              <w:rPr>
                <w:rFonts w:hint="eastAsia" w:ascii="宋体" w:hAnsi="宋体"/>
                <w:sz w:val="20"/>
                <w:szCs w:val="20"/>
              </w:rPr>
              <w:t>收录12篇（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与</w:t>
            </w:r>
            <w:r>
              <w:rPr>
                <w:rFonts w:ascii="宋体" w:hAnsi="宋体"/>
                <w:sz w:val="20"/>
                <w:szCs w:val="20"/>
              </w:rPr>
              <w:t>EI</w:t>
            </w:r>
            <w:r>
              <w:rPr>
                <w:rFonts w:hint="eastAsia" w:ascii="宋体" w:hAnsi="宋体"/>
                <w:sz w:val="20"/>
                <w:szCs w:val="20"/>
              </w:rPr>
              <w:t>论文不重复计算），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他人引用</w:t>
            </w:r>
            <w:r>
              <w:rPr>
                <w:rFonts w:ascii="宋体" w:hAnsi="宋体"/>
                <w:sz w:val="20"/>
                <w:szCs w:val="20"/>
              </w:rPr>
              <w:t>***</w:t>
            </w:r>
            <w:r>
              <w:rPr>
                <w:rFonts w:hint="eastAsia" w:ascii="宋体" w:hAnsi="宋体"/>
                <w:sz w:val="20"/>
                <w:szCs w:val="20"/>
              </w:rPr>
              <w:t>次（国内外同行评价，提供支撑材料）；授权发明专利2项（美国和澳大利亚专利）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300" w:firstLineChars="150"/>
              <w:jc w:val="left"/>
              <w:textAlignment w:val="auto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明确：第一作者或通信作者论文：</w:t>
            </w:r>
            <w:r>
              <w:rPr>
                <w:rFonts w:ascii="宋体" w:hAnsi="宋体"/>
                <w:sz w:val="20"/>
                <w:szCs w:val="20"/>
              </w:rPr>
              <w:t>A++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1　</w:t>
            </w:r>
            <w:r>
              <w:rPr>
                <w:rFonts w:hint="eastAsia" w:ascii="宋体" w:hAnsi="宋体"/>
                <w:sz w:val="20"/>
                <w:szCs w:val="20"/>
              </w:rPr>
              <w:t>篇；</w:t>
            </w:r>
            <w:r>
              <w:rPr>
                <w:rFonts w:ascii="宋体" w:hAnsi="宋体"/>
                <w:sz w:val="20"/>
                <w:szCs w:val="20"/>
              </w:rPr>
              <w:t>A+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3　</w:t>
            </w:r>
            <w:r>
              <w:rPr>
                <w:rFonts w:hint="eastAsia" w:ascii="宋体" w:hAnsi="宋体"/>
                <w:sz w:val="20"/>
                <w:szCs w:val="20"/>
              </w:rPr>
              <w:t>篇。</w:t>
            </w:r>
          </w:p>
        </w:tc>
      </w:tr>
    </w:tbl>
    <w:p>
      <w:pPr>
        <w:spacing w:line="360" w:lineRule="auto"/>
        <w:ind w:firstLine="361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hint="eastAsia" w:ascii="Times New Roman" w:hAnsi="Times New Roman"/>
          <w:b/>
          <w:sz w:val="24"/>
          <w:szCs w:val="24"/>
        </w:rPr>
        <w:t>、学习经历</w:t>
      </w:r>
    </w:p>
    <w:tbl>
      <w:tblPr>
        <w:tblStyle w:val="4"/>
        <w:tblW w:w="10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48"/>
        <w:gridCol w:w="2220"/>
        <w:gridCol w:w="2281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学历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</w:rPr>
              <w:t>学位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毕业学校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2007.9-2011.6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北京邮电大学世纪学院</w:t>
            </w:r>
          </w:p>
        </w:tc>
        <w:tc>
          <w:tcPr>
            <w:tcW w:w="2281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通信工程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李殷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硕士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2011.9-2014.6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澳门科技大学</w:t>
            </w:r>
          </w:p>
        </w:tc>
        <w:tc>
          <w:tcPr>
            <w:tcW w:w="2281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计算机与通讯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戴弘宁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博士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2015.9-2018.12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澳门科技大学</w:t>
            </w:r>
          </w:p>
        </w:tc>
        <w:tc>
          <w:tcPr>
            <w:tcW w:w="2281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计算机技术及其应用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戴弘宁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全日制</w:t>
            </w: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hint="eastAsia" w:ascii="Times New Roman" w:hAnsi="Times New Roman"/>
          <w:b/>
          <w:sz w:val="24"/>
          <w:szCs w:val="24"/>
        </w:rPr>
        <w:t>、工作经历</w:t>
      </w:r>
    </w:p>
    <w:tbl>
      <w:tblPr>
        <w:tblStyle w:val="4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职位名称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2014.6-2014.12</w:t>
            </w: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软件测试工程师</w:t>
            </w: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魅族科技有限公司</w:t>
            </w: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hint="eastAsia" w:ascii="Times New Roman" w:hAnsi="Times New Roman"/>
          <w:b/>
          <w:sz w:val="24"/>
          <w:szCs w:val="24"/>
        </w:rPr>
        <w:t>、论文情况（</w:t>
      </w:r>
      <w:r>
        <w:rPr>
          <w:rFonts w:ascii="宋体" w:hAnsi="宋体"/>
          <w:b/>
          <w:szCs w:val="24"/>
        </w:rPr>
        <w:t>5</w:t>
      </w:r>
      <w:r>
        <w:rPr>
          <w:rFonts w:hint="eastAsia" w:ascii="宋体" w:hAnsi="宋体"/>
          <w:b/>
          <w:szCs w:val="24"/>
        </w:rPr>
        <w:t>篇以内代表性论文）</w:t>
      </w:r>
      <w:r>
        <w:rPr>
          <w:rFonts w:hint="eastAsia" w:ascii="Times New Roman" w:hAnsi="Times New Roman"/>
          <w:b/>
          <w:sz w:val="24"/>
          <w:szCs w:val="24"/>
        </w:rPr>
        <w:t>：</w:t>
      </w:r>
    </w:p>
    <w:tbl>
      <w:tblPr>
        <w:tblStyle w:val="4"/>
        <w:tblW w:w="10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2430"/>
        <w:gridCol w:w="1800"/>
        <w:gridCol w:w="630"/>
        <w:gridCol w:w="438"/>
        <w:gridCol w:w="1542"/>
        <w:gridCol w:w="720"/>
        <w:gridCol w:w="1170"/>
        <w:gridCol w:w="810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35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题目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出版单位名称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排名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单位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刊物性质及期刊号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（学术期刊分级</w:t>
            </w:r>
            <w:r>
              <w:rPr>
                <w:rFonts w:ascii="Times New Roman" w:hAnsi="Times New Roman"/>
                <w:szCs w:val="24"/>
              </w:rPr>
              <w:t xml:space="preserve">A++ </w:t>
            </w:r>
            <w:r>
              <w:rPr>
                <w:rFonts w:hint="eastAsia" w:ascii="Times New Roman" w:hAnsi="Times New Roman"/>
                <w:szCs w:val="24"/>
              </w:rPr>
              <w:t>等，</w:t>
            </w:r>
            <w:r>
              <w:rPr>
                <w:rFonts w:ascii="Times New Roman" w:hAnsi="Times New Roman"/>
                <w:szCs w:val="24"/>
              </w:rPr>
              <w:t>SCI?</w:t>
            </w:r>
            <w:r>
              <w:rPr>
                <w:rFonts w:hint="eastAsia" w:ascii="Times New Roman" w:hAnsi="Times New Roman"/>
                <w:szCs w:val="24"/>
              </w:rPr>
              <w:t>区</w:t>
            </w:r>
          </w:p>
        </w:tc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558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35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Connectivity of Underlay Cognitive Radio Networks with Directional Antennas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Transactions on Vehicular Technology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3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澳门科技大学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0018-9545</w:t>
            </w:r>
          </w:p>
        </w:tc>
        <w:tc>
          <w:tcPr>
            <w:tcW w:w="1170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A++</w:t>
            </w:r>
            <w:r>
              <w:rPr>
                <w:rFonts w:hint="eastAsia" w:ascii="Times New Roman" w:hAnsi="Times New Roman"/>
                <w:sz w:val="20"/>
                <w:szCs w:val="24"/>
              </w:rPr>
              <w:t>，S</w:t>
            </w:r>
            <w:r>
              <w:rPr>
                <w:rFonts w:ascii="Times New Roman" w:hAnsi="Times New Roman"/>
                <w:sz w:val="20"/>
                <w:szCs w:val="24"/>
              </w:rPr>
              <w:t>CI JCR</w:t>
            </w:r>
            <w:r>
              <w:rPr>
                <w:rFonts w:hint="eastAsia" w:ascii="Times New Roman" w:hAnsi="Times New Roman"/>
                <w:sz w:val="20"/>
                <w:szCs w:val="24"/>
              </w:rPr>
              <w:t>1区</w:t>
            </w:r>
          </w:p>
        </w:tc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4.432</w:t>
            </w:r>
          </w:p>
        </w:tc>
        <w:tc>
          <w:tcPr>
            <w:tcW w:w="55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  <w:jc w:val="center"/>
        </w:trPr>
        <w:tc>
          <w:tcPr>
            <w:tcW w:w="35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Link Connectivity and Coverage of Underwater Cognitive Acoustic Networks under Spectrum Constraint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/>
                <w:sz w:val="20"/>
                <w:szCs w:val="20"/>
              </w:rPr>
              <w:t>ensors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澳门科技大学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1424-8220</w:t>
            </w:r>
          </w:p>
        </w:tc>
        <w:tc>
          <w:tcPr>
            <w:tcW w:w="1170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A+</w:t>
            </w:r>
            <w:r>
              <w:rPr>
                <w:rFonts w:hint="eastAsia" w:ascii="Times New Roman" w:hAnsi="Times New Roman"/>
                <w:sz w:val="20"/>
                <w:szCs w:val="24"/>
              </w:rPr>
              <w:t>，</w:t>
            </w:r>
            <w:r>
              <w:rPr>
                <w:rFonts w:ascii="Times New Roman" w:hAnsi="Times New Roman"/>
                <w:sz w:val="20"/>
                <w:szCs w:val="24"/>
              </w:rPr>
              <w:t>SCI</w:t>
            </w:r>
            <w:r>
              <w:rPr>
                <w:rFonts w:hint="eastAsia" w:ascii="Times New Roman" w:hAnsi="Times New Roman"/>
                <w:sz w:val="20"/>
                <w:szCs w:val="24"/>
              </w:rPr>
              <w:t>，</w:t>
            </w:r>
            <w:r>
              <w:rPr>
                <w:rFonts w:ascii="Times New Roman" w:hAnsi="Times New Roman"/>
                <w:sz w:val="20"/>
                <w:szCs w:val="24"/>
              </w:rPr>
              <w:t>JCR</w:t>
            </w:r>
            <w:r>
              <w:rPr>
                <w:rFonts w:hint="eastAsia" w:ascii="Times New Roman" w:hAnsi="Times New Roman"/>
                <w:sz w:val="20"/>
                <w:szCs w:val="24"/>
              </w:rPr>
              <w:t>2区（发表时为</w:t>
            </w:r>
            <w:r>
              <w:rPr>
                <w:rFonts w:ascii="Times New Roman" w:hAnsi="Times New Roman"/>
                <w:sz w:val="20"/>
                <w:szCs w:val="24"/>
              </w:rPr>
              <w:t>JCR</w:t>
            </w:r>
            <w:r>
              <w:rPr>
                <w:rFonts w:hint="eastAsia" w:ascii="Times New Roman" w:hAnsi="Times New Roman"/>
                <w:sz w:val="20"/>
                <w:szCs w:val="24"/>
              </w:rPr>
              <w:t>1区）</w:t>
            </w:r>
          </w:p>
        </w:tc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2.475</w:t>
            </w:r>
          </w:p>
        </w:tc>
        <w:tc>
          <w:tcPr>
            <w:tcW w:w="55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35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 Connectivity of Wireless Sensor Networks with Directional Antennas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/>
                <w:sz w:val="20"/>
                <w:szCs w:val="20"/>
              </w:rPr>
              <w:t>ensors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澳门科技大学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1424-8220</w:t>
            </w:r>
          </w:p>
        </w:tc>
        <w:tc>
          <w:tcPr>
            <w:tcW w:w="1170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A+</w:t>
            </w:r>
            <w:r>
              <w:rPr>
                <w:rFonts w:hint="eastAsia" w:ascii="Times New Roman" w:hAnsi="Times New Roman"/>
                <w:sz w:val="20"/>
                <w:szCs w:val="24"/>
              </w:rPr>
              <w:t>，</w:t>
            </w:r>
            <w:r>
              <w:rPr>
                <w:rFonts w:ascii="Times New Roman" w:hAnsi="Times New Roman"/>
                <w:sz w:val="20"/>
                <w:szCs w:val="24"/>
              </w:rPr>
              <w:t>SCI</w:t>
            </w:r>
            <w:r>
              <w:rPr>
                <w:rFonts w:hint="eastAsia" w:ascii="Times New Roman" w:hAnsi="Times New Roman"/>
                <w:sz w:val="20"/>
                <w:szCs w:val="24"/>
              </w:rPr>
              <w:t>，</w:t>
            </w:r>
            <w:r>
              <w:rPr>
                <w:rFonts w:ascii="Times New Roman" w:hAnsi="Times New Roman"/>
                <w:sz w:val="20"/>
                <w:szCs w:val="24"/>
              </w:rPr>
              <w:t>JCR</w:t>
            </w:r>
            <w:r>
              <w:rPr>
                <w:rFonts w:hint="eastAsia" w:ascii="Times New Roman" w:hAnsi="Times New Roman"/>
                <w:sz w:val="20"/>
                <w:szCs w:val="24"/>
              </w:rPr>
              <w:t>2区（发表时为</w:t>
            </w:r>
            <w:r>
              <w:rPr>
                <w:rFonts w:ascii="Times New Roman" w:hAnsi="Times New Roman"/>
                <w:sz w:val="20"/>
                <w:szCs w:val="24"/>
              </w:rPr>
              <w:t>JCR</w:t>
            </w:r>
            <w:r>
              <w:rPr>
                <w:rFonts w:hint="eastAsia" w:ascii="Times New Roman" w:hAnsi="Times New Roman"/>
                <w:sz w:val="20"/>
                <w:szCs w:val="24"/>
              </w:rPr>
              <w:t>1区）</w:t>
            </w:r>
          </w:p>
        </w:tc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2.475</w:t>
            </w:r>
          </w:p>
        </w:tc>
        <w:tc>
          <w:tcPr>
            <w:tcW w:w="55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  <w:jc w:val="center"/>
        </w:trPr>
        <w:tc>
          <w:tcPr>
            <w:tcW w:w="35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 Modeling Eavesdropping Attacks in Underwater Acoustic Sensor Networks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/>
                <w:sz w:val="20"/>
                <w:szCs w:val="20"/>
              </w:rPr>
              <w:t>ensors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38" w:type="dxa"/>
            <w:vAlign w:val="center"/>
          </w:tcPr>
          <w:p>
            <w:pPr>
              <w:ind w:firstLine="100" w:firstLineChars="5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澳门科技大学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1424-8220</w:t>
            </w:r>
          </w:p>
        </w:tc>
        <w:tc>
          <w:tcPr>
            <w:tcW w:w="1170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A+</w:t>
            </w:r>
            <w:r>
              <w:rPr>
                <w:rFonts w:hint="eastAsia" w:ascii="Times New Roman" w:hAnsi="Times New Roman"/>
                <w:sz w:val="20"/>
                <w:szCs w:val="24"/>
              </w:rPr>
              <w:t>，</w:t>
            </w:r>
            <w:r>
              <w:rPr>
                <w:rFonts w:ascii="Times New Roman" w:hAnsi="Times New Roman"/>
                <w:sz w:val="20"/>
                <w:szCs w:val="24"/>
              </w:rPr>
              <w:t>SCI</w:t>
            </w:r>
            <w:r>
              <w:rPr>
                <w:rFonts w:hint="eastAsia" w:ascii="Times New Roman" w:hAnsi="Times New Roman"/>
                <w:sz w:val="20"/>
                <w:szCs w:val="24"/>
              </w:rPr>
              <w:t>，</w:t>
            </w:r>
            <w:r>
              <w:rPr>
                <w:rFonts w:ascii="Times New Roman" w:hAnsi="Times New Roman"/>
                <w:sz w:val="20"/>
                <w:szCs w:val="24"/>
              </w:rPr>
              <w:t>JCR</w:t>
            </w:r>
            <w:r>
              <w:rPr>
                <w:rFonts w:hint="eastAsia" w:ascii="Times New Roman" w:hAnsi="Times New Roman"/>
                <w:sz w:val="20"/>
                <w:szCs w:val="24"/>
              </w:rPr>
              <w:t>2区（发表时为</w:t>
            </w:r>
            <w:r>
              <w:rPr>
                <w:rFonts w:ascii="Times New Roman" w:hAnsi="Times New Roman"/>
                <w:sz w:val="20"/>
                <w:szCs w:val="24"/>
              </w:rPr>
              <w:t>JCR</w:t>
            </w:r>
            <w:r>
              <w:rPr>
                <w:rFonts w:hint="eastAsia" w:ascii="Times New Roman" w:hAnsi="Times New Roman"/>
                <w:sz w:val="20"/>
                <w:szCs w:val="24"/>
              </w:rPr>
              <w:t>1区）</w:t>
            </w:r>
          </w:p>
        </w:tc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2.475</w:t>
            </w:r>
          </w:p>
        </w:tc>
        <w:tc>
          <w:tcPr>
            <w:tcW w:w="55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35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Transmission probability of energy harvesting-based cognitive radio networks with directional antennas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23rd Asia Pacific Conference on Communications (APCC)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8" w:type="dxa"/>
            <w:vAlign w:val="center"/>
          </w:tcPr>
          <w:p>
            <w:pPr>
              <w:ind w:firstLine="100" w:firstLineChars="5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澳门科技大学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</w:t>
            </w:r>
          </w:p>
        </w:tc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hint="eastAsia" w:ascii="Times New Roman" w:hAnsi="Times New Roman"/>
          <w:b/>
          <w:sz w:val="24"/>
          <w:szCs w:val="24"/>
        </w:rPr>
        <w:t>、科研项目</w:t>
      </w:r>
      <w:r>
        <w:rPr>
          <w:rFonts w:ascii="Times New Roman" w:hAnsi="Times New Roman"/>
          <w:b/>
          <w:sz w:val="24"/>
          <w:szCs w:val="24"/>
        </w:rPr>
        <w:t> :</w:t>
      </w:r>
    </w:p>
    <w:tbl>
      <w:tblPr>
        <w:tblStyle w:val="4"/>
        <w:tblW w:w="10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3402"/>
        <w:gridCol w:w="2365"/>
        <w:gridCol w:w="12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2015-2017</w:t>
            </w:r>
          </w:p>
        </w:tc>
        <w:tc>
          <w:tcPr>
            <w:tcW w:w="3402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大规模无线自组织网络：性能分析及性能提高研究</w:t>
            </w:r>
          </w:p>
        </w:tc>
        <w:tc>
          <w:tcPr>
            <w:tcW w:w="2365" w:type="dxa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澳门科学技术发展基金</w:t>
            </w:r>
          </w:p>
        </w:tc>
        <w:tc>
          <w:tcPr>
            <w:tcW w:w="1241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135.61万</w:t>
            </w:r>
          </w:p>
        </w:tc>
        <w:tc>
          <w:tcPr>
            <w:tcW w:w="1843" w:type="dxa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作为学生参与，学生排名第一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3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2012-2014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使用多信道的定向天线网络研究</w:t>
            </w:r>
          </w:p>
        </w:tc>
        <w:tc>
          <w:tcPr>
            <w:tcW w:w="2365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澳门科学技术发展基金</w:t>
            </w:r>
          </w:p>
        </w:tc>
        <w:tc>
          <w:tcPr>
            <w:tcW w:w="1241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49.59万</w:t>
            </w:r>
          </w:p>
        </w:tc>
        <w:tc>
          <w:tcPr>
            <w:tcW w:w="1843" w:type="dxa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作为学生参与，学生排名第一</w:t>
            </w: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hint="eastAsia" w:ascii="Times New Roman" w:hAnsi="Times New Roman"/>
          <w:b/>
          <w:sz w:val="24"/>
          <w:szCs w:val="24"/>
        </w:rPr>
        <w:t>、专利情况</w:t>
      </w:r>
    </w:p>
    <w:tbl>
      <w:tblPr>
        <w:tblStyle w:val="4"/>
        <w:tblpPr w:leftFromText="180" w:rightFromText="180" w:vertAnchor="text" w:horzAnchor="page" w:tblpX="858" w:tblpY="480"/>
        <w:tblOverlap w:val="never"/>
        <w:tblW w:w="10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75"/>
        <w:gridCol w:w="1580"/>
        <w:gridCol w:w="1082"/>
        <w:gridCol w:w="1275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专利类别</w:t>
            </w:r>
          </w:p>
        </w:tc>
        <w:tc>
          <w:tcPr>
            <w:tcW w:w="35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专利名称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专利所有人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授权时间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授权国别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imesNewRomanPSMT" w:asciiTheme="majorEastAsia" w:hAnsiTheme="majorEastAsia" w:eastAsiaTheme="majorEastAsia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357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Anti-eavesdropping shelter for protection of wireless communication</w:t>
            </w:r>
          </w:p>
        </w:tc>
        <w:tc>
          <w:tcPr>
            <w:tcW w:w="158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澳门科技大学</w:t>
            </w:r>
          </w:p>
        </w:tc>
        <w:tc>
          <w:tcPr>
            <w:tcW w:w="1082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美国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/>
                <w:kern w:val="0"/>
                <w:sz w:val="20"/>
                <w:szCs w:val="20"/>
              </w:rPr>
              <w:t>US9800367B1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357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An improved anti-eavesdropping shelter for protection of wireless communication</w:t>
            </w:r>
          </w:p>
        </w:tc>
        <w:tc>
          <w:tcPr>
            <w:tcW w:w="158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澳门科技大学</w:t>
            </w:r>
          </w:p>
        </w:tc>
        <w:tc>
          <w:tcPr>
            <w:tcW w:w="1082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澳大利亚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/>
                <w:kern w:val="0"/>
                <w:sz w:val="20"/>
                <w:szCs w:val="20"/>
              </w:rPr>
              <w:t>2017100336</w:t>
            </w:r>
          </w:p>
        </w:tc>
      </w:tr>
    </w:tbl>
    <w:p>
      <w:pPr>
        <w:spacing w:line="360" w:lineRule="auto"/>
        <w:ind w:firstLine="482" w:firstLineChars="200"/>
        <w:rPr>
          <w:rFonts w:ascii="宋体" w:hAnsi="Times New Roman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/>
          <w:color w:val="000000"/>
          <w:sz w:val="24"/>
          <w:szCs w:val="24"/>
        </w:rPr>
        <w:t>、获奖情况：</w:t>
      </w:r>
    </w:p>
    <w:tbl>
      <w:tblPr>
        <w:tblStyle w:val="4"/>
        <w:tblW w:w="104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391"/>
        <w:gridCol w:w="267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4391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2679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" w:hAnsi="Times" w:cs="Times"/>
                <w:kern w:val="0"/>
                <w:sz w:val="20"/>
                <w:szCs w:val="20"/>
              </w:rPr>
            </w:pPr>
            <w:r>
              <w:rPr>
                <w:rFonts w:ascii="Times" w:hAnsi="Times" w:eastAsia="微软雅黑" w:cs="Times"/>
                <w:kern w:val="0"/>
                <w:sz w:val="20"/>
                <w:szCs w:val="20"/>
              </w:rPr>
              <w:t>2015-2018</w:t>
            </w:r>
          </w:p>
        </w:tc>
        <w:tc>
          <w:tcPr>
            <w:tcW w:w="4391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博士研究生学术研究助学金（PGS）</w:t>
            </w:r>
          </w:p>
        </w:tc>
        <w:tc>
          <w:tcPr>
            <w:tcW w:w="2679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澳门科技大学</w:t>
            </w:r>
          </w:p>
        </w:tc>
        <w:tc>
          <w:tcPr>
            <w:tcW w:w="1843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" w:hAnsi="Times" w:cs="Times"/>
                <w:kern w:val="0"/>
                <w:sz w:val="20"/>
                <w:szCs w:val="20"/>
              </w:rPr>
            </w:pPr>
            <w:r>
              <w:rPr>
                <w:rFonts w:ascii="Times" w:hAnsi="Times" w:eastAsia="微软雅黑" w:cs="Times"/>
                <w:kern w:val="0"/>
                <w:sz w:val="20"/>
                <w:szCs w:val="20"/>
              </w:rPr>
              <w:t>2011-2014</w:t>
            </w:r>
          </w:p>
        </w:tc>
        <w:tc>
          <w:tcPr>
            <w:tcW w:w="4391" w:type="dxa"/>
            <w:vAlign w:val="top"/>
          </w:tcPr>
          <w:p>
            <w:pPr>
              <w:spacing w:line="360" w:lineRule="auto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硕士研究生</w:t>
            </w:r>
            <w:r>
              <w:rPr>
                <w:rFonts w:hint="eastAsia" w:cs="Times" w:asciiTheme="majorEastAsia" w:hAnsiTheme="majorEastAsia" w:eastAsiaTheme="majorEastAsia"/>
                <w:kern w:val="0"/>
                <w:sz w:val="20"/>
                <w:szCs w:val="20"/>
              </w:rPr>
              <w:t>学费100%</w:t>
            </w: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助学金</w:t>
            </w:r>
          </w:p>
        </w:tc>
        <w:tc>
          <w:tcPr>
            <w:tcW w:w="2679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澳门科技大学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" w:hAnsi="Times" w:eastAsia="微软雅黑" w:cs="Times"/>
                <w:kern w:val="0"/>
                <w:sz w:val="20"/>
                <w:szCs w:val="20"/>
              </w:rPr>
            </w:pPr>
            <w:r>
              <w:rPr>
                <w:rFonts w:ascii="Times" w:hAnsi="Times" w:eastAsia="微软雅黑" w:cs="Times"/>
                <w:kern w:val="0"/>
                <w:sz w:val="20"/>
                <w:szCs w:val="20"/>
              </w:rPr>
              <w:t>2008-2009</w:t>
            </w:r>
          </w:p>
        </w:tc>
        <w:tc>
          <w:tcPr>
            <w:tcW w:w="4391" w:type="dxa"/>
            <w:vAlign w:val="top"/>
          </w:tcPr>
          <w:p>
            <w:pPr>
              <w:spacing w:line="360" w:lineRule="auto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国家励志奖学金</w:t>
            </w:r>
          </w:p>
        </w:tc>
        <w:tc>
          <w:tcPr>
            <w:tcW w:w="2679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北京市教育委员会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" w:hAnsi="Times" w:eastAsia="微软雅黑" w:cs="Times"/>
                <w:kern w:val="0"/>
                <w:sz w:val="20"/>
                <w:szCs w:val="20"/>
              </w:rPr>
            </w:pPr>
            <w:r>
              <w:rPr>
                <w:rFonts w:ascii="Times" w:hAnsi="Times" w:eastAsia="微软雅黑" w:cs="Times"/>
                <w:kern w:val="0"/>
                <w:sz w:val="20"/>
                <w:szCs w:val="20"/>
              </w:rPr>
              <w:t>2007-2008</w:t>
            </w:r>
          </w:p>
        </w:tc>
        <w:tc>
          <w:tcPr>
            <w:tcW w:w="4391" w:type="dxa"/>
            <w:vAlign w:val="top"/>
          </w:tcPr>
          <w:p>
            <w:pPr>
              <w:spacing w:line="360" w:lineRule="auto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专业一等奖学金</w:t>
            </w:r>
          </w:p>
        </w:tc>
        <w:tc>
          <w:tcPr>
            <w:tcW w:w="2679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北京邮电大学世纪学院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" w:hAnsi="Times" w:eastAsia="微软雅黑" w:cs="Times"/>
                <w:kern w:val="0"/>
                <w:sz w:val="20"/>
                <w:szCs w:val="20"/>
              </w:rPr>
            </w:pPr>
            <w:r>
              <w:rPr>
                <w:rFonts w:ascii="Times" w:hAnsi="Times" w:eastAsia="微软雅黑" w:cs="Times"/>
                <w:kern w:val="0"/>
                <w:sz w:val="20"/>
                <w:szCs w:val="20"/>
              </w:rPr>
              <w:t>2007-2008</w:t>
            </w:r>
          </w:p>
        </w:tc>
        <w:tc>
          <w:tcPr>
            <w:tcW w:w="4391" w:type="dxa"/>
            <w:vAlign w:val="top"/>
          </w:tcPr>
          <w:p>
            <w:pPr>
              <w:spacing w:line="360" w:lineRule="auto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优秀团员</w:t>
            </w:r>
          </w:p>
        </w:tc>
        <w:tc>
          <w:tcPr>
            <w:tcW w:w="2679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北京邮电大学共青团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" w:hAnsi="Times" w:eastAsia="微软雅黑" w:cs="Times"/>
                <w:kern w:val="0"/>
                <w:sz w:val="20"/>
                <w:szCs w:val="20"/>
              </w:rPr>
            </w:pPr>
            <w:r>
              <w:rPr>
                <w:rFonts w:ascii="Times" w:hAnsi="Times" w:eastAsia="微软雅黑" w:cs="Times"/>
                <w:kern w:val="0"/>
                <w:sz w:val="20"/>
                <w:szCs w:val="20"/>
              </w:rPr>
              <w:t>2008-2009</w:t>
            </w:r>
          </w:p>
        </w:tc>
        <w:tc>
          <w:tcPr>
            <w:tcW w:w="4391" w:type="dxa"/>
            <w:vAlign w:val="top"/>
          </w:tcPr>
          <w:p>
            <w:pPr>
              <w:spacing w:line="360" w:lineRule="auto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专业二等奖学金</w:t>
            </w:r>
          </w:p>
        </w:tc>
        <w:tc>
          <w:tcPr>
            <w:tcW w:w="2679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北京邮电大学世纪学院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" w:hAnsi="Times" w:eastAsia="微软雅黑" w:cs="Times"/>
                <w:kern w:val="0"/>
                <w:sz w:val="20"/>
                <w:szCs w:val="20"/>
              </w:rPr>
            </w:pPr>
            <w:r>
              <w:rPr>
                <w:rFonts w:ascii="Times" w:hAnsi="Times" w:eastAsia="微软雅黑" w:cs="Times"/>
                <w:kern w:val="0"/>
                <w:sz w:val="20"/>
                <w:szCs w:val="20"/>
              </w:rPr>
              <w:t>2009-2010</w:t>
            </w:r>
          </w:p>
        </w:tc>
        <w:tc>
          <w:tcPr>
            <w:tcW w:w="4391" w:type="dxa"/>
            <w:vAlign w:val="top"/>
          </w:tcPr>
          <w:p>
            <w:pPr>
              <w:spacing w:line="360" w:lineRule="auto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专业三等奖学金</w:t>
            </w:r>
          </w:p>
        </w:tc>
        <w:tc>
          <w:tcPr>
            <w:tcW w:w="2679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Times" w:asciiTheme="majorEastAsia" w:hAnsiTheme="majorEastAsia" w:eastAsiaTheme="majorEastAsia"/>
                <w:kern w:val="0"/>
                <w:sz w:val="20"/>
                <w:szCs w:val="20"/>
              </w:rPr>
              <w:t>北京邮电大学世纪学院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个人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公示时间为：201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30</w:t>
      </w:r>
      <w:r>
        <w:rPr>
          <w:rFonts w:hint="eastAsia"/>
          <w:szCs w:val="21"/>
        </w:rPr>
        <w:t>日至201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日。</w:t>
      </w:r>
    </w:p>
    <w:p>
      <w:pPr>
        <w:rPr>
          <w:szCs w:val="21"/>
        </w:rPr>
      </w:pPr>
      <w:r>
        <w:rPr>
          <w:rFonts w:hint="eastAsia"/>
          <w:szCs w:val="21"/>
        </w:rPr>
        <w:t>对匿名公示人员有异议的单位或个人，可在公示期间以真实姓名向信息学院公开招聘工作小组电话、书面反映或面谈，恕不接受匿名电话和信件。</w:t>
      </w:r>
    </w:p>
    <w:p>
      <w:pPr>
        <w:rPr>
          <w:szCs w:val="21"/>
        </w:rPr>
      </w:pPr>
      <w:r>
        <w:rPr>
          <w:rFonts w:hint="eastAsia"/>
          <w:szCs w:val="21"/>
        </w:rPr>
        <w:t>信息学院办公室电话：028-66367465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联系邮箱：jsjrs@swjtu.edu.cn      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信息科学与技术学院</w:t>
      </w:r>
    </w:p>
    <w:p>
      <w:r>
        <w:rPr>
          <w:rFonts w:hint="eastAsia"/>
          <w:szCs w:val="21"/>
        </w:rPr>
        <w:t xml:space="preserve">                                                      二〇一</w:t>
      </w:r>
      <w:r>
        <w:rPr>
          <w:rFonts w:hint="eastAsia"/>
          <w:szCs w:val="21"/>
          <w:lang w:eastAsia="zh-CN"/>
        </w:rPr>
        <w:t>九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eastAsia="zh-CN"/>
        </w:rPr>
        <w:t>五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eastAsia="zh-CN"/>
        </w:rPr>
        <w:t>三</w:t>
      </w:r>
      <w:bookmarkStart w:id="0" w:name="_GoBack"/>
      <w:bookmarkEnd w:id="0"/>
      <w:r>
        <w:rPr>
          <w:rFonts w:hint="eastAsia"/>
          <w:szCs w:val="21"/>
          <w:lang w:eastAsia="zh-CN"/>
        </w:rPr>
        <w:t>十</w:t>
      </w:r>
      <w:r>
        <w:rPr>
          <w:rFonts w:hint="eastAsia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1097"/>
    <w:multiLevelType w:val="multilevel"/>
    <w:tmpl w:val="7E001097"/>
    <w:lvl w:ilvl="0" w:tentative="0">
      <w:start w:val="1"/>
      <w:numFmt w:val="decimal"/>
      <w:lvlText w:val="%1."/>
      <w:lvlJc w:val="left"/>
      <w:pPr>
        <w:ind w:left="760" w:hanging="360"/>
      </w:pPr>
      <w:rPr>
        <w:rFonts w:hint="default" w:cs="Arial"/>
      </w:rPr>
    </w:lvl>
    <w:lvl w:ilvl="1" w:tentative="0">
      <w:start w:val="1"/>
      <w:numFmt w:val="lowerLetter"/>
      <w:lvlText w:val="%2."/>
      <w:lvlJc w:val="left"/>
      <w:pPr>
        <w:ind w:left="1480" w:hanging="360"/>
      </w:pPr>
    </w:lvl>
    <w:lvl w:ilvl="2" w:tentative="0">
      <w:start w:val="1"/>
      <w:numFmt w:val="lowerRoman"/>
      <w:lvlText w:val="%3."/>
      <w:lvlJc w:val="right"/>
      <w:pPr>
        <w:ind w:left="2200" w:hanging="180"/>
      </w:pPr>
    </w:lvl>
    <w:lvl w:ilvl="3" w:tentative="0">
      <w:start w:val="1"/>
      <w:numFmt w:val="decimal"/>
      <w:lvlText w:val="%4."/>
      <w:lvlJc w:val="left"/>
      <w:pPr>
        <w:ind w:left="2920" w:hanging="360"/>
      </w:pPr>
    </w:lvl>
    <w:lvl w:ilvl="4" w:tentative="0">
      <w:start w:val="1"/>
      <w:numFmt w:val="lowerLetter"/>
      <w:lvlText w:val="%5."/>
      <w:lvlJc w:val="left"/>
      <w:pPr>
        <w:ind w:left="3640" w:hanging="360"/>
      </w:pPr>
    </w:lvl>
    <w:lvl w:ilvl="5" w:tentative="0">
      <w:start w:val="1"/>
      <w:numFmt w:val="lowerRoman"/>
      <w:lvlText w:val="%6."/>
      <w:lvlJc w:val="right"/>
      <w:pPr>
        <w:ind w:left="4360" w:hanging="180"/>
      </w:pPr>
    </w:lvl>
    <w:lvl w:ilvl="6" w:tentative="0">
      <w:start w:val="1"/>
      <w:numFmt w:val="decimal"/>
      <w:lvlText w:val="%7."/>
      <w:lvlJc w:val="left"/>
      <w:pPr>
        <w:ind w:left="5080" w:hanging="360"/>
      </w:pPr>
    </w:lvl>
    <w:lvl w:ilvl="7" w:tentative="0">
      <w:start w:val="1"/>
      <w:numFmt w:val="lowerLetter"/>
      <w:lvlText w:val="%8."/>
      <w:lvlJc w:val="left"/>
      <w:pPr>
        <w:ind w:left="5800" w:hanging="360"/>
      </w:pPr>
    </w:lvl>
    <w:lvl w:ilvl="8" w:tentative="0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149FF"/>
    <w:rsid w:val="00270AB1"/>
    <w:rsid w:val="00462BFA"/>
    <w:rsid w:val="00882D60"/>
    <w:rsid w:val="00AD62B3"/>
    <w:rsid w:val="00DB4354"/>
    <w:rsid w:val="00E56669"/>
    <w:rsid w:val="01875001"/>
    <w:rsid w:val="03735BC9"/>
    <w:rsid w:val="08161105"/>
    <w:rsid w:val="082D1B1C"/>
    <w:rsid w:val="11B36A59"/>
    <w:rsid w:val="144E5C0B"/>
    <w:rsid w:val="15276360"/>
    <w:rsid w:val="158305FB"/>
    <w:rsid w:val="15D218A0"/>
    <w:rsid w:val="18584CA7"/>
    <w:rsid w:val="186E3CCE"/>
    <w:rsid w:val="193E0BCA"/>
    <w:rsid w:val="19AB3CE1"/>
    <w:rsid w:val="1E9A1F40"/>
    <w:rsid w:val="1F1E0324"/>
    <w:rsid w:val="23541325"/>
    <w:rsid w:val="29A30FB4"/>
    <w:rsid w:val="2A6B1C17"/>
    <w:rsid w:val="2DF20167"/>
    <w:rsid w:val="2EB46FEA"/>
    <w:rsid w:val="2FB2592B"/>
    <w:rsid w:val="2FD11E06"/>
    <w:rsid w:val="33962048"/>
    <w:rsid w:val="363275B1"/>
    <w:rsid w:val="38646E30"/>
    <w:rsid w:val="3B23205C"/>
    <w:rsid w:val="3C10210C"/>
    <w:rsid w:val="3D4E4686"/>
    <w:rsid w:val="3D900579"/>
    <w:rsid w:val="3E9729EE"/>
    <w:rsid w:val="403B6CD9"/>
    <w:rsid w:val="40426CA0"/>
    <w:rsid w:val="40DA2B33"/>
    <w:rsid w:val="416C25DD"/>
    <w:rsid w:val="45736337"/>
    <w:rsid w:val="478353F9"/>
    <w:rsid w:val="479B1798"/>
    <w:rsid w:val="48AF10CA"/>
    <w:rsid w:val="49C2036B"/>
    <w:rsid w:val="4C373466"/>
    <w:rsid w:val="4D9C0048"/>
    <w:rsid w:val="4F8D77AB"/>
    <w:rsid w:val="534A231A"/>
    <w:rsid w:val="552553A1"/>
    <w:rsid w:val="56575EAA"/>
    <w:rsid w:val="56F80834"/>
    <w:rsid w:val="587F17C1"/>
    <w:rsid w:val="58AA0221"/>
    <w:rsid w:val="5CDA5E23"/>
    <w:rsid w:val="5D4E59A6"/>
    <w:rsid w:val="5FCE557E"/>
    <w:rsid w:val="62305729"/>
    <w:rsid w:val="68793240"/>
    <w:rsid w:val="6AF87676"/>
    <w:rsid w:val="6B4D2DC4"/>
    <w:rsid w:val="6D276585"/>
    <w:rsid w:val="6F896254"/>
    <w:rsid w:val="704D56A3"/>
    <w:rsid w:val="75DB48BB"/>
    <w:rsid w:val="778B482B"/>
    <w:rsid w:val="77FA156F"/>
    <w:rsid w:val="78B96688"/>
    <w:rsid w:val="7E6E7AAC"/>
    <w:rsid w:val="7ED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527</Words>
  <Characters>3007</Characters>
  <Lines>25</Lines>
  <Paragraphs>7</Paragraphs>
  <TotalTime>1</TotalTime>
  <ScaleCrop>false</ScaleCrop>
  <LinksUpToDate>false</LinksUpToDate>
  <CharactersWithSpaces>3527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2018-05-18T06:58:00Z</dcterms:created>
  <dc:creator>Administrator</dc:creator>
  <cp:lastModifiedBy>Administrator</cp:lastModifiedBy>
  <dcterms:modified xsi:type="dcterms:W3CDTF">2019-05-30T01:36:13Z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