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0B" w:rsidRPr="002551DC" w:rsidRDefault="00C10B0B" w:rsidP="00C10B0B">
      <w:pPr>
        <w:ind w:firstLine="723"/>
        <w:jc w:val="center"/>
        <w:rPr>
          <w:rFonts w:ascii="黑体" w:eastAsia="黑体" w:hAnsi="黑体" w:cs="Times New Roman"/>
          <w:b/>
          <w:sz w:val="28"/>
          <w:szCs w:val="28"/>
        </w:rPr>
      </w:pPr>
      <w:r w:rsidRPr="00C10B0B">
        <w:rPr>
          <w:rFonts w:ascii="宋体" w:hAnsi="宋体" w:cs="Times New Roman" w:hint="eastAsia"/>
          <w:b/>
          <w:sz w:val="36"/>
          <w:szCs w:val="24"/>
        </w:rPr>
        <w:t>西南交通大学交控卓越人才专项基金评定管理办法</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一、设立宗旨</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 xml:space="preserve">为促进西南交通大学 “交通信息工程及控制”学科发展，增强本学科的影响力及凝聚力，为我国交通信息工程及控制领域培养卓越人才，经与有关单位协商，设立“交控卓越人才专项基金”。本基金设立宗旨为：帮扶“交通信息工程及控制”学科（铁道信号方向）各类经济困难学生顺利完成学业，成为我国轨道交通信号与控制领域的有用人才；激励交通信息工程及控制（铁道信号方向）学生及青年教师奋发进取、勇于创新，为本学科发展做出卓越贡献。 </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二、基金资助对象</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1、“交通信息工程及控制”（铁道信号方向）和“交通运输工程”（铁道信号方向）全日制研究生（含硕士研究生、博士研究生），“轨道交通信号与控制”专业（含峨眉）全日制本科生；</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2、西南交通大学信息科学与技术学院“交通信息工程及控制”学科（铁道信号方向）青年教师；</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3、有利于学科发展，有利于轨道交通事业科技进步的探索性、创新性项目。</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三、基金使用类型（100万元）</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1. 交控卓越科研创新基金（11万元）</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为了鼓励本学科各类研究生、本科生、青年教师积极开展探索性、创新性研究，该类基金将资助由公司及学院相关专家提出的创新项目或青年教师、学生申报并获得评审委员会批准的创新项目。资助额度：一等：3万元（1项/年）；二等：2万元（2项/年）；三等：1万元（4项/年）。</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2. 交控卓越研究生奖励基金（17万元）</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为了奖励本学科各类研究生中的卓越人才，该类基金将奖励获得评审委员会选拔的在本年度</w:t>
      </w:r>
      <w:proofErr w:type="gramStart"/>
      <w:r w:rsidRPr="002551DC">
        <w:rPr>
          <w:rFonts w:ascii="宋体" w:hAnsi="宋体" w:cs="Times New Roman" w:hint="eastAsia"/>
          <w:szCs w:val="24"/>
        </w:rPr>
        <w:t>作出</w:t>
      </w:r>
      <w:proofErr w:type="gramEnd"/>
      <w:r w:rsidRPr="002551DC">
        <w:rPr>
          <w:rFonts w:ascii="宋体" w:hAnsi="宋体" w:cs="Times New Roman" w:hint="eastAsia"/>
          <w:szCs w:val="24"/>
        </w:rPr>
        <w:t>优异成绩的各类研究生。奖励额度：一等：博士3万元（2人/年），硕士2万元（1人/年）；二等：1万元（6人/年）；三等：0.5万元（6人/年）。</w:t>
      </w:r>
    </w:p>
    <w:p w:rsidR="008B150F" w:rsidRPr="002551DC" w:rsidRDefault="008B150F" w:rsidP="008B150F">
      <w:pPr>
        <w:ind w:firstLine="482"/>
        <w:rPr>
          <w:rFonts w:ascii="宋体" w:hAnsi="宋体" w:cs="Times New Roman"/>
          <w:b/>
          <w:szCs w:val="24"/>
        </w:rPr>
      </w:pPr>
      <w:r w:rsidRPr="002551DC">
        <w:rPr>
          <w:rFonts w:ascii="宋体" w:hAnsi="宋体" w:cs="Times New Roman"/>
          <w:b/>
          <w:szCs w:val="24"/>
        </w:rPr>
        <w:t>3.</w:t>
      </w:r>
      <w:r w:rsidRPr="002551DC">
        <w:rPr>
          <w:rFonts w:ascii="宋体" w:hAnsi="宋体" w:cs="Times New Roman" w:hint="eastAsia"/>
          <w:b/>
          <w:szCs w:val="24"/>
        </w:rPr>
        <w:t xml:space="preserve"> 交控卓越本科生奖励基金（12万元）</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为了鼓励轨道交通信号与控制本科专业（含峨眉）学生努力进取、追求卓越，该类基金根据学年综合平均分排名，奖励轨道交通信号与控制专业各年级名列前茅学生。奖励额度：一等：0.6万元（6人/年）；二等：0.4万元（12人/年）；三等：0.</w:t>
      </w:r>
      <w:r w:rsidR="00161C69">
        <w:rPr>
          <w:rFonts w:ascii="宋体" w:hAnsi="宋体" w:cs="Times New Roman"/>
          <w:szCs w:val="24"/>
        </w:rPr>
        <w:t>3</w:t>
      </w:r>
      <w:r w:rsidRPr="002551DC">
        <w:rPr>
          <w:rFonts w:ascii="宋体" w:hAnsi="宋体" w:cs="Times New Roman" w:hint="eastAsia"/>
          <w:szCs w:val="24"/>
        </w:rPr>
        <w:t>万元</w:t>
      </w:r>
      <w:r w:rsidRPr="002551DC">
        <w:rPr>
          <w:rFonts w:ascii="宋体" w:hAnsi="宋体" w:cs="Times New Roman" w:hint="eastAsia"/>
          <w:szCs w:val="24"/>
        </w:rPr>
        <w:lastRenderedPageBreak/>
        <w:t>（1</w:t>
      </w:r>
      <w:r w:rsidR="00161C69">
        <w:rPr>
          <w:rFonts w:ascii="宋体" w:hAnsi="宋体" w:cs="Times New Roman"/>
          <w:szCs w:val="24"/>
        </w:rPr>
        <w:t>2</w:t>
      </w:r>
      <w:r w:rsidRPr="002551DC">
        <w:rPr>
          <w:rFonts w:ascii="宋体" w:hAnsi="宋体" w:cs="Times New Roman" w:hint="eastAsia"/>
          <w:szCs w:val="24"/>
        </w:rPr>
        <w:t>人/年）。</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4. 交</w:t>
      </w:r>
      <w:proofErr w:type="gramStart"/>
      <w:r w:rsidRPr="002551DC">
        <w:rPr>
          <w:rFonts w:ascii="宋体" w:hAnsi="宋体" w:cs="Times New Roman" w:hint="eastAsia"/>
          <w:b/>
          <w:szCs w:val="24"/>
        </w:rPr>
        <w:t>控优秀保研</w:t>
      </w:r>
      <w:proofErr w:type="gramEnd"/>
      <w:r w:rsidRPr="002551DC">
        <w:rPr>
          <w:rFonts w:ascii="宋体" w:hAnsi="宋体" w:cs="Times New Roman" w:hint="eastAsia"/>
          <w:b/>
          <w:szCs w:val="24"/>
        </w:rPr>
        <w:t>奖励基金（不超过23万元）</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为提高本学科研究生生源质量，该类基金支持本学院各专业排名前列的保</w:t>
      </w:r>
      <w:proofErr w:type="gramStart"/>
      <w:r w:rsidRPr="002551DC">
        <w:rPr>
          <w:rFonts w:ascii="宋体" w:hAnsi="宋体" w:cs="Times New Roman" w:hint="eastAsia"/>
          <w:szCs w:val="24"/>
        </w:rPr>
        <w:t>研</w:t>
      </w:r>
      <w:proofErr w:type="gramEnd"/>
      <w:r w:rsidRPr="002551DC">
        <w:rPr>
          <w:rFonts w:ascii="宋体" w:hAnsi="宋体" w:cs="Times New Roman" w:hint="eastAsia"/>
          <w:szCs w:val="24"/>
        </w:rPr>
        <w:t>至</w:t>
      </w:r>
      <w:proofErr w:type="gramStart"/>
      <w:r w:rsidRPr="002551DC">
        <w:rPr>
          <w:rFonts w:ascii="宋体" w:hAnsi="宋体" w:cs="Times New Roman" w:hint="eastAsia"/>
          <w:szCs w:val="24"/>
        </w:rPr>
        <w:t>本校交</w:t>
      </w:r>
      <w:proofErr w:type="gramEnd"/>
      <w:r w:rsidRPr="002551DC">
        <w:rPr>
          <w:rFonts w:ascii="宋体" w:hAnsi="宋体" w:cs="Times New Roman" w:hint="eastAsia"/>
          <w:szCs w:val="24"/>
        </w:rPr>
        <w:t>控学科并按时入学的优秀学生。奖励额度：一等：2万元（5人，保</w:t>
      </w:r>
      <w:proofErr w:type="gramStart"/>
      <w:r w:rsidRPr="002551DC">
        <w:rPr>
          <w:rFonts w:ascii="宋体" w:hAnsi="宋体" w:cs="Times New Roman" w:hint="eastAsia"/>
          <w:szCs w:val="24"/>
        </w:rPr>
        <w:t>研</w:t>
      </w:r>
      <w:proofErr w:type="gramEnd"/>
      <w:r w:rsidRPr="002551DC">
        <w:rPr>
          <w:rFonts w:ascii="宋体" w:hAnsi="宋体" w:cs="Times New Roman" w:hint="eastAsia"/>
          <w:szCs w:val="24"/>
        </w:rPr>
        <w:t>综合排名专业第一）；1万元（8人，保</w:t>
      </w:r>
      <w:proofErr w:type="gramStart"/>
      <w:r w:rsidRPr="002551DC">
        <w:rPr>
          <w:rFonts w:ascii="宋体" w:hAnsi="宋体" w:cs="Times New Roman" w:hint="eastAsia"/>
          <w:szCs w:val="24"/>
        </w:rPr>
        <w:t>研</w:t>
      </w:r>
      <w:proofErr w:type="gramEnd"/>
      <w:r w:rsidRPr="002551DC">
        <w:rPr>
          <w:rFonts w:ascii="宋体" w:hAnsi="宋体" w:cs="Times New Roman" w:hint="eastAsia"/>
          <w:szCs w:val="24"/>
        </w:rPr>
        <w:t>综合排名专业第二、第三）；0.5万元（10人，保</w:t>
      </w:r>
      <w:proofErr w:type="gramStart"/>
      <w:r w:rsidRPr="002551DC">
        <w:rPr>
          <w:rFonts w:ascii="宋体" w:hAnsi="宋体" w:cs="Times New Roman" w:hint="eastAsia"/>
          <w:szCs w:val="24"/>
        </w:rPr>
        <w:t>研</w:t>
      </w:r>
      <w:proofErr w:type="gramEnd"/>
      <w:r w:rsidRPr="002551DC">
        <w:rPr>
          <w:rFonts w:ascii="宋体" w:hAnsi="宋体" w:cs="Times New Roman" w:hint="eastAsia"/>
          <w:szCs w:val="24"/>
        </w:rPr>
        <w:t>综合排名专业第四--第五）。</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5. 交控卓越贡献基金（8万元）</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为了奖励为本学科发展与人才培养</w:t>
      </w:r>
      <w:proofErr w:type="gramStart"/>
      <w:r w:rsidRPr="002551DC">
        <w:rPr>
          <w:rFonts w:ascii="宋体" w:hAnsi="宋体" w:cs="Times New Roman" w:hint="eastAsia"/>
          <w:szCs w:val="24"/>
        </w:rPr>
        <w:t>作出</w:t>
      </w:r>
      <w:proofErr w:type="gramEnd"/>
      <w:r w:rsidRPr="002551DC">
        <w:rPr>
          <w:rFonts w:ascii="宋体" w:hAnsi="宋体" w:cs="Times New Roman" w:hint="eastAsia"/>
          <w:szCs w:val="24"/>
        </w:rPr>
        <w:t>贡献的青年教师，该类基金将奖励获得评审委员会选拔的在本年度</w:t>
      </w:r>
      <w:proofErr w:type="gramStart"/>
      <w:r w:rsidRPr="002551DC">
        <w:rPr>
          <w:rFonts w:ascii="宋体" w:hAnsi="宋体" w:cs="Times New Roman" w:hint="eastAsia"/>
          <w:szCs w:val="24"/>
        </w:rPr>
        <w:t>作出</w:t>
      </w:r>
      <w:proofErr w:type="gramEnd"/>
      <w:r w:rsidRPr="002551DC">
        <w:rPr>
          <w:rFonts w:ascii="宋体" w:hAnsi="宋体" w:cs="Times New Roman" w:hint="eastAsia"/>
          <w:szCs w:val="24"/>
        </w:rPr>
        <w:t>优异成绩的青年教师。奖励额度：一等：3万元（1人/年）；二等：1万元（3人/年）；三等：0.5万元（4人/年）。</w:t>
      </w:r>
    </w:p>
    <w:p w:rsidR="008B150F" w:rsidRPr="002551DC" w:rsidRDefault="008B150F" w:rsidP="008B150F">
      <w:pPr>
        <w:ind w:firstLine="482"/>
        <w:rPr>
          <w:rFonts w:ascii="宋体" w:hAnsi="宋体" w:cs="Times New Roman"/>
          <w:b/>
          <w:szCs w:val="24"/>
        </w:rPr>
      </w:pPr>
      <w:r w:rsidRPr="002551DC">
        <w:rPr>
          <w:rFonts w:ascii="宋体" w:hAnsi="宋体" w:cs="Times New Roman"/>
          <w:b/>
          <w:szCs w:val="24"/>
        </w:rPr>
        <w:t>6</w:t>
      </w:r>
      <w:r w:rsidRPr="002551DC">
        <w:rPr>
          <w:rFonts w:ascii="宋体" w:hAnsi="宋体" w:cs="Times New Roman" w:hint="eastAsia"/>
          <w:b/>
          <w:szCs w:val="24"/>
        </w:rPr>
        <w:t>. 助学基金（不超过10万元）</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为了帮扶经济困难的各类研究生及本科生顺利完成学业，该类基金将资助通过评审委员会认可的经济困难的各类研究生及本科生。资助不超过1万元/人。</w:t>
      </w:r>
    </w:p>
    <w:p w:rsidR="008B150F" w:rsidRPr="002551DC" w:rsidRDefault="008B150F" w:rsidP="008B150F">
      <w:pPr>
        <w:ind w:firstLine="482"/>
        <w:rPr>
          <w:rFonts w:ascii="宋体" w:hAnsi="宋体" w:cs="Times New Roman"/>
          <w:b/>
          <w:szCs w:val="24"/>
        </w:rPr>
      </w:pPr>
      <w:r w:rsidRPr="002551DC">
        <w:rPr>
          <w:rFonts w:ascii="宋体" w:hAnsi="宋体" w:cs="Times New Roman"/>
          <w:b/>
          <w:szCs w:val="24"/>
        </w:rPr>
        <w:t>7</w:t>
      </w:r>
      <w:r w:rsidRPr="002551DC">
        <w:rPr>
          <w:rFonts w:ascii="宋体" w:hAnsi="宋体" w:cs="Times New Roman" w:hint="eastAsia"/>
          <w:b/>
          <w:szCs w:val="24"/>
        </w:rPr>
        <w:t>. 留学助学基金（不超过10万元）</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为了鼓励本学科各类研究生及本科生出国深造，留学助学基金将根据个人家庭经济状况、留学情况资助获得评审委员会选拔的出国深造的学生。</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8．特殊助困基金（不超过9万元）</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为了</w:t>
      </w:r>
      <w:proofErr w:type="gramStart"/>
      <w:r w:rsidRPr="002551DC">
        <w:rPr>
          <w:rFonts w:ascii="宋体" w:hAnsi="宋体" w:cs="Times New Roman" w:hint="eastAsia"/>
          <w:szCs w:val="24"/>
        </w:rPr>
        <w:t>援助因</w:t>
      </w:r>
      <w:proofErr w:type="gramEnd"/>
      <w:r w:rsidRPr="002551DC">
        <w:rPr>
          <w:rFonts w:ascii="宋体" w:hAnsi="宋体" w:cs="Times New Roman" w:hint="eastAsia"/>
          <w:szCs w:val="24"/>
        </w:rPr>
        <w:t>特殊、紧急事件受到经济困扰的各类研究生及本科生度过难关，经评审委员会特殊动议、评审，可紧急资助特殊受困学生。资助额度：不超过3万元。</w:t>
      </w:r>
    </w:p>
    <w:p w:rsidR="008B150F" w:rsidRPr="002551DC" w:rsidRDefault="008B150F" w:rsidP="008B150F">
      <w:pPr>
        <w:ind w:firstLine="482"/>
        <w:rPr>
          <w:rFonts w:ascii="宋体" w:hAnsi="宋体" w:cs="Times New Roman"/>
          <w:b/>
          <w:szCs w:val="24"/>
        </w:rPr>
      </w:pPr>
      <w:r w:rsidRPr="002551DC">
        <w:rPr>
          <w:rFonts w:ascii="宋体" w:hAnsi="宋体" w:cs="Times New Roman" w:hint="eastAsia"/>
          <w:b/>
          <w:szCs w:val="24"/>
        </w:rPr>
        <w:t>五、其他</w:t>
      </w:r>
    </w:p>
    <w:p w:rsidR="00E74A3C" w:rsidRPr="00B41904" w:rsidRDefault="00E74A3C" w:rsidP="00E74A3C">
      <w:pPr>
        <w:ind w:firstLine="482"/>
        <w:rPr>
          <w:rFonts w:ascii="宋体" w:hAnsi="宋体" w:cs="Times New Roman"/>
          <w:b/>
          <w:szCs w:val="24"/>
        </w:rPr>
      </w:pPr>
      <w:r w:rsidRPr="00B41904">
        <w:rPr>
          <w:rFonts w:ascii="宋体" w:hAnsi="宋体" w:cs="Times New Roman" w:hint="eastAsia"/>
          <w:b/>
          <w:szCs w:val="24"/>
        </w:rPr>
        <w:t>1.</w:t>
      </w:r>
      <w:r w:rsidR="00261E8F" w:rsidRPr="00B41904">
        <w:rPr>
          <w:rFonts w:ascii="宋体" w:hAnsi="宋体" w:cs="Times New Roman" w:hint="eastAsia"/>
          <w:b/>
          <w:szCs w:val="24"/>
        </w:rPr>
        <w:t xml:space="preserve"> 交控卓越研究生奖励基金</w:t>
      </w:r>
      <w:r w:rsidRPr="00B41904">
        <w:rPr>
          <w:rFonts w:ascii="宋体" w:hAnsi="宋体" w:cs="Times New Roman" w:hint="eastAsia"/>
          <w:b/>
          <w:szCs w:val="24"/>
        </w:rPr>
        <w:t>、</w:t>
      </w:r>
      <w:r w:rsidR="00261E8F" w:rsidRPr="00B41904">
        <w:rPr>
          <w:rFonts w:ascii="宋体" w:hAnsi="宋体" w:cs="Times New Roman" w:hint="eastAsia"/>
          <w:b/>
          <w:szCs w:val="24"/>
        </w:rPr>
        <w:t>交控卓越本科生奖励基金</w:t>
      </w:r>
      <w:r w:rsidRPr="00B41904">
        <w:rPr>
          <w:rFonts w:ascii="宋体" w:hAnsi="宋体" w:cs="Times New Roman" w:hint="eastAsia"/>
          <w:b/>
          <w:szCs w:val="24"/>
        </w:rPr>
        <w:t>与国奖、国励、综合奖学金、其他专项奖助学</w:t>
      </w:r>
      <w:bookmarkStart w:id="0" w:name="_GoBack"/>
      <w:bookmarkEnd w:id="0"/>
      <w:r w:rsidRPr="00B41904">
        <w:rPr>
          <w:rFonts w:ascii="宋体" w:hAnsi="宋体" w:cs="Times New Roman" w:hint="eastAsia"/>
          <w:b/>
          <w:szCs w:val="24"/>
        </w:rPr>
        <w:t>金不可以兼得；</w:t>
      </w:r>
    </w:p>
    <w:p w:rsidR="008B150F" w:rsidRPr="002551DC" w:rsidRDefault="008B150F" w:rsidP="008B150F">
      <w:pPr>
        <w:ind w:firstLine="480"/>
        <w:rPr>
          <w:rFonts w:ascii="宋体" w:hAnsi="宋体" w:cs="Times New Roman"/>
          <w:szCs w:val="24"/>
        </w:rPr>
      </w:pPr>
      <w:r w:rsidRPr="002551DC">
        <w:rPr>
          <w:rFonts w:ascii="宋体" w:hAnsi="宋体" w:cs="Times New Roman" w:hint="eastAsia"/>
          <w:szCs w:val="24"/>
        </w:rPr>
        <w:t>2.该基金宁缺毋滥，各项</w:t>
      </w:r>
      <w:proofErr w:type="gramStart"/>
      <w:r w:rsidRPr="002551DC">
        <w:rPr>
          <w:rFonts w:ascii="宋体" w:hAnsi="宋体" w:cs="Times New Roman" w:hint="eastAsia"/>
          <w:szCs w:val="24"/>
        </w:rPr>
        <w:t>目根据</w:t>
      </w:r>
      <w:proofErr w:type="gramEnd"/>
      <w:r w:rsidRPr="002551DC">
        <w:rPr>
          <w:rFonts w:ascii="宋体" w:hAnsi="宋体" w:cs="Times New Roman" w:hint="eastAsia"/>
          <w:szCs w:val="24"/>
        </w:rPr>
        <w:t>实际情况，可空缺。</w:t>
      </w:r>
    </w:p>
    <w:p w:rsidR="008B150F" w:rsidRPr="002551DC" w:rsidRDefault="008B150F" w:rsidP="008B150F">
      <w:pPr>
        <w:widowControl/>
        <w:ind w:firstLine="482"/>
        <w:rPr>
          <w:rFonts w:ascii="宋体" w:hAnsi="宋体" w:cs="Times New Roman"/>
          <w:b/>
          <w:kern w:val="0"/>
          <w:szCs w:val="24"/>
        </w:rPr>
      </w:pPr>
      <w:r w:rsidRPr="002551DC">
        <w:rPr>
          <w:rFonts w:ascii="宋体" w:hAnsi="宋体" w:cs="Times New Roman" w:hint="eastAsia"/>
          <w:b/>
          <w:kern w:val="0"/>
          <w:szCs w:val="24"/>
        </w:rPr>
        <w:t>六、评审委员会</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kern w:val="0"/>
          <w:szCs w:val="24"/>
        </w:rPr>
        <w:t>为保证</w:t>
      </w:r>
      <w:r w:rsidRPr="002551DC">
        <w:rPr>
          <w:rFonts w:ascii="宋体" w:hAnsi="宋体" w:cs="Times New Roman" w:hint="eastAsia"/>
          <w:kern w:val="0"/>
          <w:szCs w:val="24"/>
        </w:rPr>
        <w:t>评审的公正性与规范性，特设立“</w:t>
      </w:r>
      <w:r w:rsidRPr="002551DC">
        <w:rPr>
          <w:rFonts w:ascii="宋体" w:hAnsi="宋体" w:cs="Times New Roman"/>
          <w:kern w:val="0"/>
          <w:szCs w:val="24"/>
        </w:rPr>
        <w:t>西南交通大学</w:t>
      </w:r>
      <w:r w:rsidRPr="002551DC">
        <w:rPr>
          <w:rFonts w:ascii="宋体" w:hAnsi="宋体" w:cs="Times New Roman" w:hint="eastAsia"/>
          <w:kern w:val="0"/>
          <w:szCs w:val="24"/>
        </w:rPr>
        <w:t>交控卓越人才</w:t>
      </w:r>
      <w:r w:rsidRPr="002551DC">
        <w:rPr>
          <w:rFonts w:ascii="宋体" w:hAnsi="宋体" w:cs="Times New Roman"/>
          <w:kern w:val="0"/>
          <w:szCs w:val="24"/>
        </w:rPr>
        <w:t>专项</w:t>
      </w:r>
      <w:r w:rsidRPr="002551DC">
        <w:rPr>
          <w:rFonts w:ascii="宋体" w:hAnsi="宋体" w:cs="Times New Roman" w:hint="eastAsia"/>
          <w:kern w:val="0"/>
          <w:szCs w:val="24"/>
        </w:rPr>
        <w:t>基金”评审委员会。评审委员会组成如下：</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组长：郭进、</w:t>
      </w:r>
      <w:r w:rsidRPr="002551DC">
        <w:rPr>
          <w:rFonts w:ascii="宋体" w:hAnsi="宋体" w:cs="Times New Roman"/>
          <w:kern w:val="0"/>
          <w:szCs w:val="24"/>
        </w:rPr>
        <w:t>马琼</w:t>
      </w:r>
      <w:r w:rsidRPr="002551DC">
        <w:rPr>
          <w:rFonts w:ascii="宋体" w:hAnsi="宋体" w:cs="Times New Roman" w:hint="eastAsia"/>
          <w:kern w:val="0"/>
          <w:szCs w:val="24"/>
        </w:rPr>
        <w:t>、</w:t>
      </w:r>
      <w:r w:rsidRPr="002551DC">
        <w:rPr>
          <w:rFonts w:ascii="宋体" w:hAnsi="宋体" w:cs="Times New Roman"/>
          <w:kern w:val="0"/>
          <w:szCs w:val="24"/>
        </w:rPr>
        <w:t>王小敏</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kern w:val="0"/>
          <w:szCs w:val="24"/>
        </w:rPr>
        <w:t>成员</w:t>
      </w:r>
      <w:r w:rsidRPr="002551DC">
        <w:rPr>
          <w:rFonts w:ascii="宋体" w:hAnsi="宋体" w:cs="Times New Roman" w:hint="eastAsia"/>
          <w:kern w:val="0"/>
          <w:szCs w:val="24"/>
        </w:rPr>
        <w:t>：</w:t>
      </w:r>
      <w:r w:rsidRPr="002551DC">
        <w:rPr>
          <w:rFonts w:ascii="宋体" w:hAnsi="宋体" w:cs="Times New Roman"/>
          <w:kern w:val="0"/>
          <w:szCs w:val="24"/>
        </w:rPr>
        <w:t>张亚东</w:t>
      </w:r>
      <w:r w:rsidRPr="002551DC">
        <w:rPr>
          <w:rFonts w:ascii="宋体" w:hAnsi="宋体" w:cs="Times New Roman" w:hint="eastAsia"/>
          <w:kern w:val="0"/>
          <w:szCs w:val="24"/>
        </w:rPr>
        <w:t>、马亮、廖凡、交控学科本</w:t>
      </w:r>
      <w:proofErr w:type="gramStart"/>
      <w:r w:rsidRPr="002551DC">
        <w:rPr>
          <w:rFonts w:ascii="宋体" w:hAnsi="宋体" w:cs="Times New Roman" w:hint="eastAsia"/>
          <w:kern w:val="0"/>
          <w:szCs w:val="24"/>
        </w:rPr>
        <w:t>研</w:t>
      </w:r>
      <w:proofErr w:type="gramEnd"/>
      <w:r w:rsidRPr="002551DC">
        <w:rPr>
          <w:rFonts w:ascii="宋体" w:hAnsi="宋体" w:cs="Times New Roman" w:hint="eastAsia"/>
          <w:kern w:val="0"/>
          <w:szCs w:val="24"/>
        </w:rPr>
        <w:t>辅导员</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秘书：</w:t>
      </w:r>
      <w:r w:rsidR="00AE72E4">
        <w:rPr>
          <w:rFonts w:ascii="宋体" w:hAnsi="宋体" w:cs="Times New Roman" w:hint="eastAsia"/>
          <w:kern w:val="0"/>
          <w:szCs w:val="24"/>
        </w:rPr>
        <w:t>刘书怀</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kern w:val="0"/>
          <w:szCs w:val="24"/>
        </w:rPr>
        <w:lastRenderedPageBreak/>
        <w:t>以上委员如有特殊事务无法亲自参加评审</w:t>
      </w:r>
      <w:r w:rsidRPr="002551DC">
        <w:rPr>
          <w:rFonts w:ascii="宋体" w:hAnsi="宋体" w:cs="Times New Roman" w:hint="eastAsia"/>
          <w:kern w:val="0"/>
          <w:szCs w:val="24"/>
        </w:rPr>
        <w:t>，</w:t>
      </w:r>
      <w:r w:rsidRPr="002551DC">
        <w:rPr>
          <w:rFonts w:ascii="宋体" w:hAnsi="宋体" w:cs="Times New Roman"/>
          <w:kern w:val="0"/>
          <w:szCs w:val="24"/>
        </w:rPr>
        <w:t>可以委托其他老师参加</w:t>
      </w:r>
      <w:r w:rsidRPr="002551DC">
        <w:rPr>
          <w:rFonts w:ascii="宋体" w:hAnsi="宋体" w:cs="Times New Roman" w:hint="eastAsia"/>
          <w:kern w:val="0"/>
          <w:szCs w:val="24"/>
        </w:rPr>
        <w:t>。</w:t>
      </w:r>
    </w:p>
    <w:p w:rsidR="008B150F" w:rsidRPr="002551DC" w:rsidRDefault="008B150F" w:rsidP="008B150F">
      <w:pPr>
        <w:widowControl/>
        <w:ind w:firstLine="480"/>
        <w:rPr>
          <w:rFonts w:ascii="宋体" w:hAnsi="宋体" w:cs="Times New Roman"/>
          <w:kern w:val="0"/>
          <w:szCs w:val="24"/>
        </w:rPr>
      </w:pPr>
    </w:p>
    <w:p w:rsidR="008B150F" w:rsidRPr="002551DC" w:rsidRDefault="008B150F" w:rsidP="008B150F">
      <w:pPr>
        <w:widowControl/>
        <w:ind w:firstLine="482"/>
        <w:rPr>
          <w:rFonts w:ascii="宋体" w:hAnsi="宋体" w:cs="Times New Roman"/>
          <w:b/>
          <w:kern w:val="0"/>
          <w:szCs w:val="24"/>
        </w:rPr>
      </w:pPr>
      <w:r w:rsidRPr="002551DC">
        <w:rPr>
          <w:rFonts w:ascii="宋体" w:hAnsi="宋体" w:cs="Times New Roman" w:hint="eastAsia"/>
          <w:b/>
          <w:kern w:val="0"/>
          <w:szCs w:val="24"/>
        </w:rPr>
        <w:t>七、评审程序</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1、原则上所有基金使用项目，由本人申请，并按规定填写申请表，提供相关证明材料，将申请材料与证明材料递交到信息学院评奖评优中心（9118）；</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2、信息学院评奖评优中心进行材料审核，并将满足审核条件的资料转交初评单位；</w:t>
      </w:r>
      <w:r w:rsidRPr="002551DC">
        <w:rPr>
          <w:rFonts w:ascii="宋体" w:hAnsi="宋体" w:cs="Times New Roman"/>
          <w:kern w:val="0"/>
          <w:szCs w:val="24"/>
        </w:rPr>
        <w:t xml:space="preserve"> </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3、由交通信息工程及控制实验室对满足审核条件的教师及各类研究生进行初步评审；由学生工作组对满足审核条件的本科生进行初步评审，并提出候选者名单；</w:t>
      </w:r>
      <w:r w:rsidRPr="002551DC">
        <w:rPr>
          <w:rFonts w:ascii="宋体" w:hAnsi="宋体" w:cs="Times New Roman"/>
          <w:kern w:val="0"/>
          <w:szCs w:val="24"/>
        </w:rPr>
        <w:t xml:space="preserve"> </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4</w:t>
      </w:r>
      <w:r w:rsidRPr="002551DC">
        <w:rPr>
          <w:rFonts w:ascii="宋体" w:hAnsi="宋体" w:cs="Times New Roman"/>
          <w:kern w:val="0"/>
          <w:szCs w:val="24"/>
        </w:rPr>
        <w:t>、</w:t>
      </w:r>
      <w:r w:rsidRPr="002551DC">
        <w:rPr>
          <w:rFonts w:ascii="宋体" w:hAnsi="宋体" w:cs="Times New Roman" w:hint="eastAsia"/>
          <w:kern w:val="0"/>
          <w:szCs w:val="24"/>
        </w:rPr>
        <w:t>评审委员会根据候选者名单组织评审，评定获奖、资助名单；</w:t>
      </w:r>
      <w:r w:rsidRPr="002551DC">
        <w:rPr>
          <w:rFonts w:ascii="宋体" w:hAnsi="宋体" w:cs="Times New Roman"/>
          <w:kern w:val="0"/>
          <w:szCs w:val="24"/>
        </w:rPr>
        <w:t xml:space="preserve"> </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5、公示与备案。获奖名单由信息学院评奖评优中心负责在信息科学与技术学院网站进行为期3个工作日的公示，并在公示结束后向学校奖学金评审委员会备案；</w:t>
      </w:r>
      <w:r w:rsidRPr="002551DC">
        <w:rPr>
          <w:rFonts w:ascii="宋体" w:hAnsi="宋体" w:cs="Times New Roman"/>
          <w:kern w:val="0"/>
          <w:szCs w:val="24"/>
        </w:rPr>
        <w:t xml:space="preserve"> </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6、表彰与颁奖。信息科学与技术学院评奖评优中心组织颁奖仪式；</w:t>
      </w:r>
      <w:r w:rsidRPr="002551DC" w:rsidDel="0066547D">
        <w:rPr>
          <w:rFonts w:ascii="宋体" w:hAnsi="宋体" w:cs="Times New Roman" w:hint="eastAsia"/>
          <w:szCs w:val="24"/>
        </w:rPr>
        <w:t xml:space="preserve"> </w:t>
      </w:r>
    </w:p>
    <w:p w:rsidR="008B150F" w:rsidRPr="002551DC" w:rsidRDefault="008B150F" w:rsidP="008B150F">
      <w:pPr>
        <w:widowControl/>
        <w:ind w:firstLine="480"/>
        <w:rPr>
          <w:rFonts w:ascii="宋体" w:hAnsi="宋体" w:cs="Times New Roman"/>
          <w:kern w:val="0"/>
          <w:szCs w:val="24"/>
        </w:rPr>
      </w:pPr>
      <w:r w:rsidRPr="002551DC">
        <w:rPr>
          <w:rFonts w:ascii="宋体" w:hAnsi="宋体" w:cs="Times New Roman" w:hint="eastAsia"/>
          <w:kern w:val="0"/>
          <w:szCs w:val="24"/>
        </w:rPr>
        <w:t>7、助学基金每学期一次申请与评审；特殊助困基金不受时间限制；其它基金按照每年评奖评优季</w:t>
      </w:r>
      <w:r w:rsidRPr="002551DC">
        <w:rPr>
          <w:rFonts w:ascii="宋体" w:hAnsi="宋体" w:cs="Times New Roman"/>
          <w:kern w:val="0"/>
          <w:szCs w:val="24"/>
        </w:rPr>
        <w:t>开始申请与评审</w:t>
      </w:r>
      <w:r w:rsidRPr="002551DC">
        <w:rPr>
          <w:rFonts w:ascii="宋体" w:hAnsi="宋体" w:cs="Times New Roman" w:hint="eastAsia"/>
          <w:kern w:val="0"/>
          <w:szCs w:val="24"/>
        </w:rPr>
        <w:t>。</w:t>
      </w:r>
    </w:p>
    <w:p w:rsidR="005D43AB" w:rsidRPr="008B150F" w:rsidRDefault="005D43AB"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p w:rsidR="00475091" w:rsidRDefault="00475091" w:rsidP="005D43AB">
      <w:pPr>
        <w:ind w:firstLine="723"/>
        <w:jc w:val="center"/>
        <w:rPr>
          <w:rFonts w:ascii="宋体" w:hAnsi="宋体" w:cs="Times New Roman"/>
          <w:b/>
          <w:sz w:val="36"/>
          <w:szCs w:val="24"/>
        </w:rPr>
      </w:pPr>
    </w:p>
    <w:sectPr w:rsidR="00475091" w:rsidSect="008E26D5">
      <w:footerReference w:type="default" r:id="rId8"/>
      <w:pgSz w:w="11906" w:h="16838"/>
      <w:pgMar w:top="1531" w:right="1474" w:bottom="1531" w:left="147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47" w:rsidRDefault="00A43947" w:rsidP="008B5C54">
      <w:pPr>
        <w:spacing w:line="240" w:lineRule="auto"/>
        <w:ind w:firstLine="480"/>
      </w:pPr>
      <w:r>
        <w:separator/>
      </w:r>
    </w:p>
  </w:endnote>
  <w:endnote w:type="continuationSeparator" w:id="0">
    <w:p w:rsidR="00A43947" w:rsidRDefault="00A43947" w:rsidP="008B5C5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15939"/>
      <w:docPartObj>
        <w:docPartGallery w:val="Page Numbers (Bottom of Page)"/>
        <w:docPartUnique/>
      </w:docPartObj>
    </w:sdtPr>
    <w:sdtEndPr/>
    <w:sdtContent>
      <w:p w:rsidR="008E26D5" w:rsidRDefault="008E26D5">
        <w:pPr>
          <w:pStyle w:val="a5"/>
          <w:ind w:firstLine="360"/>
          <w:jc w:val="center"/>
        </w:pPr>
        <w:r>
          <w:fldChar w:fldCharType="begin"/>
        </w:r>
        <w:r>
          <w:instrText>PAGE   \* MERGEFORMAT</w:instrText>
        </w:r>
        <w:r>
          <w:fldChar w:fldCharType="separate"/>
        </w:r>
        <w:r w:rsidR="00B41904" w:rsidRPr="00B41904">
          <w:rPr>
            <w:noProof/>
            <w:lang w:val="zh-CN"/>
          </w:rPr>
          <w:t>3</w:t>
        </w:r>
        <w:r>
          <w:fldChar w:fldCharType="end"/>
        </w:r>
      </w:p>
    </w:sdtContent>
  </w:sdt>
  <w:p w:rsidR="008E26D5" w:rsidRDefault="008E26D5">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47" w:rsidRDefault="00A43947" w:rsidP="008B5C54">
      <w:pPr>
        <w:spacing w:line="240" w:lineRule="auto"/>
        <w:ind w:firstLine="480"/>
      </w:pPr>
      <w:r>
        <w:separator/>
      </w:r>
    </w:p>
  </w:footnote>
  <w:footnote w:type="continuationSeparator" w:id="0">
    <w:p w:rsidR="00A43947" w:rsidRDefault="00A43947" w:rsidP="008B5C54">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52CE"/>
    <w:multiLevelType w:val="hybridMultilevel"/>
    <w:tmpl w:val="DE1EC710"/>
    <w:lvl w:ilvl="0" w:tplc="A2CA9182">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0A71FB"/>
    <w:multiLevelType w:val="multilevel"/>
    <w:tmpl w:val="1B0A71F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06E41B6"/>
    <w:multiLevelType w:val="hybridMultilevel"/>
    <w:tmpl w:val="61F20452"/>
    <w:lvl w:ilvl="0" w:tplc="82AA4AA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D1760A"/>
    <w:multiLevelType w:val="multilevel"/>
    <w:tmpl w:val="34D1760A"/>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2E224A2"/>
    <w:multiLevelType w:val="multilevel"/>
    <w:tmpl w:val="42E224A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4D83F22"/>
    <w:multiLevelType w:val="singleLevel"/>
    <w:tmpl w:val="44D83F22"/>
    <w:lvl w:ilvl="0">
      <w:start w:val="1"/>
      <w:numFmt w:val="decimal"/>
      <w:lvlText w:val="%1."/>
      <w:lvlJc w:val="left"/>
      <w:pPr>
        <w:tabs>
          <w:tab w:val="left" w:pos="312"/>
        </w:tabs>
        <w:ind w:left="105" w:firstLine="0"/>
      </w:pPr>
    </w:lvl>
  </w:abstractNum>
  <w:abstractNum w:abstractNumId="6" w15:restartNumberingAfterBreak="0">
    <w:nsid w:val="470D1037"/>
    <w:multiLevelType w:val="hybridMultilevel"/>
    <w:tmpl w:val="93B62D86"/>
    <w:lvl w:ilvl="0" w:tplc="DBFCF084">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7" w15:restartNumberingAfterBreak="0">
    <w:nsid w:val="50FC11ED"/>
    <w:multiLevelType w:val="multilevel"/>
    <w:tmpl w:val="03CE64D6"/>
    <w:lvl w:ilvl="0">
      <w:start w:val="1"/>
      <w:numFmt w:val="decimal"/>
      <w:lvlText w:val="%1、"/>
      <w:lvlJc w:val="left"/>
      <w:pPr>
        <w:ind w:left="57" w:hanging="57"/>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58FAB6FE"/>
    <w:multiLevelType w:val="singleLevel"/>
    <w:tmpl w:val="58FAB6FE"/>
    <w:lvl w:ilvl="0">
      <w:start w:val="1"/>
      <w:numFmt w:val="decimal"/>
      <w:suff w:val="nothing"/>
      <w:lvlText w:val="%1."/>
      <w:lvlJc w:val="left"/>
    </w:lvl>
  </w:abstractNum>
  <w:abstractNum w:abstractNumId="9" w15:restartNumberingAfterBreak="0">
    <w:nsid w:val="58FAB7A3"/>
    <w:multiLevelType w:val="singleLevel"/>
    <w:tmpl w:val="58FAB7A3"/>
    <w:lvl w:ilvl="0">
      <w:start w:val="1"/>
      <w:numFmt w:val="decimal"/>
      <w:suff w:val="nothing"/>
      <w:lvlText w:val="%1."/>
      <w:lvlJc w:val="left"/>
    </w:lvl>
  </w:abstractNum>
  <w:abstractNum w:abstractNumId="10" w15:restartNumberingAfterBreak="0">
    <w:nsid w:val="58FAB840"/>
    <w:multiLevelType w:val="singleLevel"/>
    <w:tmpl w:val="58FAB840"/>
    <w:lvl w:ilvl="0">
      <w:start w:val="1"/>
      <w:numFmt w:val="decimal"/>
      <w:suff w:val="nothing"/>
      <w:lvlText w:val="%1."/>
      <w:lvlJc w:val="left"/>
    </w:lvl>
  </w:abstractNum>
  <w:abstractNum w:abstractNumId="11" w15:restartNumberingAfterBreak="0">
    <w:nsid w:val="58FAB9CB"/>
    <w:multiLevelType w:val="singleLevel"/>
    <w:tmpl w:val="58FAB9CB"/>
    <w:lvl w:ilvl="0">
      <w:start w:val="1"/>
      <w:numFmt w:val="decimal"/>
      <w:suff w:val="nothing"/>
      <w:lvlText w:val="%1."/>
      <w:lvlJc w:val="left"/>
    </w:lvl>
  </w:abstractNum>
  <w:abstractNum w:abstractNumId="12" w15:restartNumberingAfterBreak="0">
    <w:nsid w:val="58FAC3E1"/>
    <w:multiLevelType w:val="singleLevel"/>
    <w:tmpl w:val="58FAC3E1"/>
    <w:lvl w:ilvl="0">
      <w:start w:val="1"/>
      <w:numFmt w:val="decimal"/>
      <w:suff w:val="nothing"/>
      <w:lvlText w:val="%1."/>
      <w:lvlJc w:val="left"/>
    </w:lvl>
  </w:abstractNum>
  <w:abstractNum w:abstractNumId="13" w15:restartNumberingAfterBreak="0">
    <w:nsid w:val="58FAC7B2"/>
    <w:multiLevelType w:val="singleLevel"/>
    <w:tmpl w:val="58FAC7B2"/>
    <w:lvl w:ilvl="0">
      <w:start w:val="1"/>
      <w:numFmt w:val="decimal"/>
      <w:suff w:val="nothing"/>
      <w:lvlText w:val="%1."/>
      <w:lvlJc w:val="left"/>
    </w:lvl>
  </w:abstractNum>
  <w:abstractNum w:abstractNumId="14" w15:restartNumberingAfterBreak="0">
    <w:nsid w:val="58FAC9FC"/>
    <w:multiLevelType w:val="singleLevel"/>
    <w:tmpl w:val="58FAC9FC"/>
    <w:lvl w:ilvl="0">
      <w:start w:val="1"/>
      <w:numFmt w:val="decimal"/>
      <w:suff w:val="nothing"/>
      <w:lvlText w:val="%1."/>
      <w:lvlJc w:val="left"/>
    </w:lvl>
  </w:abstractNum>
  <w:abstractNum w:abstractNumId="15" w15:restartNumberingAfterBreak="0">
    <w:nsid w:val="58FACAC5"/>
    <w:multiLevelType w:val="singleLevel"/>
    <w:tmpl w:val="58FACAC5"/>
    <w:lvl w:ilvl="0">
      <w:start w:val="1"/>
      <w:numFmt w:val="decimal"/>
      <w:suff w:val="nothing"/>
      <w:lvlText w:val="%1."/>
      <w:lvlJc w:val="left"/>
    </w:lvl>
  </w:abstractNum>
  <w:abstractNum w:abstractNumId="16" w15:restartNumberingAfterBreak="0">
    <w:nsid w:val="59B64C65"/>
    <w:multiLevelType w:val="singleLevel"/>
    <w:tmpl w:val="59B64C65"/>
    <w:lvl w:ilvl="0">
      <w:start w:val="1"/>
      <w:numFmt w:val="chineseCounting"/>
      <w:suff w:val="nothing"/>
      <w:lvlText w:val="%1、"/>
      <w:lvlJc w:val="left"/>
    </w:lvl>
  </w:abstractNum>
  <w:abstractNum w:abstractNumId="17" w15:restartNumberingAfterBreak="0">
    <w:nsid w:val="59B735E0"/>
    <w:multiLevelType w:val="singleLevel"/>
    <w:tmpl w:val="59B735E0"/>
    <w:lvl w:ilvl="0">
      <w:start w:val="4"/>
      <w:numFmt w:val="chineseCounting"/>
      <w:suff w:val="nothing"/>
      <w:lvlText w:val="%1、"/>
      <w:lvlJc w:val="left"/>
    </w:lvl>
  </w:abstractNum>
  <w:abstractNum w:abstractNumId="18" w15:restartNumberingAfterBreak="0">
    <w:nsid w:val="59B739CB"/>
    <w:multiLevelType w:val="singleLevel"/>
    <w:tmpl w:val="59B739CB"/>
    <w:lvl w:ilvl="0">
      <w:start w:val="1"/>
      <w:numFmt w:val="decimal"/>
      <w:suff w:val="nothing"/>
      <w:lvlText w:val="%1、"/>
      <w:lvlJc w:val="left"/>
    </w:lvl>
  </w:abstractNum>
  <w:abstractNum w:abstractNumId="19" w15:restartNumberingAfterBreak="0">
    <w:nsid w:val="59F08177"/>
    <w:multiLevelType w:val="singleLevel"/>
    <w:tmpl w:val="59F08177"/>
    <w:lvl w:ilvl="0">
      <w:start w:val="1"/>
      <w:numFmt w:val="chineseCounting"/>
      <w:suff w:val="nothing"/>
      <w:lvlText w:val="%1、"/>
      <w:lvlJc w:val="left"/>
    </w:lvl>
  </w:abstractNum>
  <w:abstractNum w:abstractNumId="20" w15:restartNumberingAfterBreak="0">
    <w:nsid w:val="59F0893F"/>
    <w:multiLevelType w:val="singleLevel"/>
    <w:tmpl w:val="59F0893F"/>
    <w:lvl w:ilvl="0">
      <w:start w:val="1"/>
      <w:numFmt w:val="decimal"/>
      <w:suff w:val="nothing"/>
      <w:lvlText w:val="%1."/>
      <w:lvlJc w:val="left"/>
    </w:lvl>
  </w:abstractNum>
  <w:abstractNum w:abstractNumId="21" w15:restartNumberingAfterBreak="0">
    <w:nsid w:val="602F2971"/>
    <w:multiLevelType w:val="multilevel"/>
    <w:tmpl w:val="602F297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75225E0C"/>
    <w:multiLevelType w:val="multilevel"/>
    <w:tmpl w:val="75225E0C"/>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9B562E4"/>
    <w:multiLevelType w:val="multilevel"/>
    <w:tmpl w:val="79B562E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20"/>
  </w:num>
  <w:num w:numId="3">
    <w:abstractNumId w:val="16"/>
  </w:num>
  <w:num w:numId="4">
    <w:abstractNumId w:val="17"/>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 w:numId="16">
    <w:abstractNumId w:val="15"/>
  </w:num>
  <w:num w:numId="17">
    <w:abstractNumId w:val="23"/>
  </w:num>
  <w:num w:numId="18">
    <w:abstractNumId w:val="21"/>
  </w:num>
  <w:num w:numId="19">
    <w:abstractNumId w:val="1"/>
  </w:num>
  <w:num w:numId="20">
    <w:abstractNumId w:val="7"/>
  </w:num>
  <w:num w:numId="21">
    <w:abstractNumId w:val="0"/>
  </w:num>
  <w:num w:numId="22">
    <w:abstractNumId w:val="22"/>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BB"/>
    <w:rsid w:val="00034B9E"/>
    <w:rsid w:val="00063B8A"/>
    <w:rsid w:val="00082910"/>
    <w:rsid w:val="000916F5"/>
    <w:rsid w:val="0009220C"/>
    <w:rsid w:val="00093AC9"/>
    <w:rsid w:val="000A3A6A"/>
    <w:rsid w:val="000B59E6"/>
    <w:rsid w:val="000D006C"/>
    <w:rsid w:val="00100BAA"/>
    <w:rsid w:val="0013265D"/>
    <w:rsid w:val="001339F3"/>
    <w:rsid w:val="00137969"/>
    <w:rsid w:val="00161C69"/>
    <w:rsid w:val="00164AD2"/>
    <w:rsid w:val="001B0225"/>
    <w:rsid w:val="001B1325"/>
    <w:rsid w:val="001C00CC"/>
    <w:rsid w:val="001D7A14"/>
    <w:rsid w:val="001F5150"/>
    <w:rsid w:val="00225C2D"/>
    <w:rsid w:val="00251216"/>
    <w:rsid w:val="00252EE0"/>
    <w:rsid w:val="00261E8F"/>
    <w:rsid w:val="00281572"/>
    <w:rsid w:val="00291F30"/>
    <w:rsid w:val="002A3D17"/>
    <w:rsid w:val="002A7800"/>
    <w:rsid w:val="002B0465"/>
    <w:rsid w:val="002B2105"/>
    <w:rsid w:val="002D4318"/>
    <w:rsid w:val="002D6C2F"/>
    <w:rsid w:val="002E2137"/>
    <w:rsid w:val="002E70AB"/>
    <w:rsid w:val="002F1F82"/>
    <w:rsid w:val="00300AFB"/>
    <w:rsid w:val="00303C8E"/>
    <w:rsid w:val="003746BE"/>
    <w:rsid w:val="00383B96"/>
    <w:rsid w:val="0038743A"/>
    <w:rsid w:val="003A4A92"/>
    <w:rsid w:val="003C6EFE"/>
    <w:rsid w:val="00401E59"/>
    <w:rsid w:val="00412324"/>
    <w:rsid w:val="00425CEB"/>
    <w:rsid w:val="004301BB"/>
    <w:rsid w:val="00442F07"/>
    <w:rsid w:val="004462E8"/>
    <w:rsid w:val="0046317A"/>
    <w:rsid w:val="00475091"/>
    <w:rsid w:val="0047600D"/>
    <w:rsid w:val="004777D7"/>
    <w:rsid w:val="004828B9"/>
    <w:rsid w:val="00493C57"/>
    <w:rsid w:val="0049574A"/>
    <w:rsid w:val="004A6CDE"/>
    <w:rsid w:val="004B1F6E"/>
    <w:rsid w:val="004D48C0"/>
    <w:rsid w:val="004D75F1"/>
    <w:rsid w:val="00520503"/>
    <w:rsid w:val="00525D7E"/>
    <w:rsid w:val="005275B3"/>
    <w:rsid w:val="0053695A"/>
    <w:rsid w:val="00545599"/>
    <w:rsid w:val="00551EFE"/>
    <w:rsid w:val="005817CF"/>
    <w:rsid w:val="005D43AB"/>
    <w:rsid w:val="006079FE"/>
    <w:rsid w:val="006541F4"/>
    <w:rsid w:val="0067262C"/>
    <w:rsid w:val="00675CB2"/>
    <w:rsid w:val="00682F8C"/>
    <w:rsid w:val="006F3E6E"/>
    <w:rsid w:val="0072550F"/>
    <w:rsid w:val="00727482"/>
    <w:rsid w:val="00742BE6"/>
    <w:rsid w:val="007516E6"/>
    <w:rsid w:val="00755149"/>
    <w:rsid w:val="00762C69"/>
    <w:rsid w:val="00770E90"/>
    <w:rsid w:val="00776B86"/>
    <w:rsid w:val="00797761"/>
    <w:rsid w:val="007B084B"/>
    <w:rsid w:val="007B5B1E"/>
    <w:rsid w:val="007E224D"/>
    <w:rsid w:val="007F328D"/>
    <w:rsid w:val="007F61A1"/>
    <w:rsid w:val="00814B58"/>
    <w:rsid w:val="00834DFE"/>
    <w:rsid w:val="00834F06"/>
    <w:rsid w:val="0085021A"/>
    <w:rsid w:val="0089374D"/>
    <w:rsid w:val="008B150F"/>
    <w:rsid w:val="008B5C54"/>
    <w:rsid w:val="008C3D50"/>
    <w:rsid w:val="008D553E"/>
    <w:rsid w:val="008E26D5"/>
    <w:rsid w:val="008E7B75"/>
    <w:rsid w:val="009402CF"/>
    <w:rsid w:val="009501F2"/>
    <w:rsid w:val="00957FFD"/>
    <w:rsid w:val="00966121"/>
    <w:rsid w:val="00974436"/>
    <w:rsid w:val="00993B72"/>
    <w:rsid w:val="009B1043"/>
    <w:rsid w:val="009B6781"/>
    <w:rsid w:val="009C27DD"/>
    <w:rsid w:val="009D455A"/>
    <w:rsid w:val="009E3A1F"/>
    <w:rsid w:val="009F3853"/>
    <w:rsid w:val="00A06C6A"/>
    <w:rsid w:val="00A11001"/>
    <w:rsid w:val="00A330B0"/>
    <w:rsid w:val="00A43947"/>
    <w:rsid w:val="00A615D1"/>
    <w:rsid w:val="00A71659"/>
    <w:rsid w:val="00A85A99"/>
    <w:rsid w:val="00AD5E3D"/>
    <w:rsid w:val="00AE72E4"/>
    <w:rsid w:val="00B41904"/>
    <w:rsid w:val="00B56186"/>
    <w:rsid w:val="00B60984"/>
    <w:rsid w:val="00B90722"/>
    <w:rsid w:val="00BA0A32"/>
    <w:rsid w:val="00BC5C80"/>
    <w:rsid w:val="00BD7A35"/>
    <w:rsid w:val="00BE239F"/>
    <w:rsid w:val="00C0377C"/>
    <w:rsid w:val="00C10B0B"/>
    <w:rsid w:val="00C14A29"/>
    <w:rsid w:val="00C27CF0"/>
    <w:rsid w:val="00C35E93"/>
    <w:rsid w:val="00C473B9"/>
    <w:rsid w:val="00C629A2"/>
    <w:rsid w:val="00C73DCE"/>
    <w:rsid w:val="00C80B1A"/>
    <w:rsid w:val="00C92F2A"/>
    <w:rsid w:val="00CA1133"/>
    <w:rsid w:val="00CC3901"/>
    <w:rsid w:val="00CD2A82"/>
    <w:rsid w:val="00D017B0"/>
    <w:rsid w:val="00D05628"/>
    <w:rsid w:val="00D20429"/>
    <w:rsid w:val="00D41646"/>
    <w:rsid w:val="00D41C05"/>
    <w:rsid w:val="00D51090"/>
    <w:rsid w:val="00D57D65"/>
    <w:rsid w:val="00D603AF"/>
    <w:rsid w:val="00D776D9"/>
    <w:rsid w:val="00DA070E"/>
    <w:rsid w:val="00DA3933"/>
    <w:rsid w:val="00DA4583"/>
    <w:rsid w:val="00DD2A20"/>
    <w:rsid w:val="00DF6633"/>
    <w:rsid w:val="00DF713E"/>
    <w:rsid w:val="00DF7667"/>
    <w:rsid w:val="00E21F24"/>
    <w:rsid w:val="00E26C59"/>
    <w:rsid w:val="00E64D9B"/>
    <w:rsid w:val="00E71484"/>
    <w:rsid w:val="00E731F1"/>
    <w:rsid w:val="00E74A3C"/>
    <w:rsid w:val="00E81A3B"/>
    <w:rsid w:val="00E86311"/>
    <w:rsid w:val="00EA1442"/>
    <w:rsid w:val="00EB5D4D"/>
    <w:rsid w:val="00EC3E6D"/>
    <w:rsid w:val="00F077A3"/>
    <w:rsid w:val="00F1104C"/>
    <w:rsid w:val="00F11A0C"/>
    <w:rsid w:val="00F242D7"/>
    <w:rsid w:val="00F35F61"/>
    <w:rsid w:val="00F66CB8"/>
    <w:rsid w:val="00F73E12"/>
    <w:rsid w:val="00F91EA7"/>
    <w:rsid w:val="00FA1D88"/>
    <w:rsid w:val="00FA3148"/>
    <w:rsid w:val="00FA789A"/>
    <w:rsid w:val="00FC3D85"/>
    <w:rsid w:val="00FD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64426"/>
  <w15:chartTrackingRefBased/>
  <w15:docId w15:val="{19634733-8739-40C3-AAF3-4082FE3B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54"/>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8B5C54"/>
    <w:pPr>
      <w:keepNext/>
      <w:keepLines/>
      <w:spacing w:afterLines="50" w:after="50"/>
      <w:jc w:val="center"/>
      <w:outlineLvl w:val="0"/>
    </w:pPr>
    <w:rPr>
      <w:rFonts w:eastAsia="方正小标宋简体"/>
      <w:bCs/>
      <w:kern w:val="44"/>
      <w:sz w:val="32"/>
      <w:szCs w:val="44"/>
    </w:rPr>
  </w:style>
  <w:style w:type="paragraph" w:styleId="2">
    <w:name w:val="heading 2"/>
    <w:basedOn w:val="a"/>
    <w:next w:val="a"/>
    <w:link w:val="20"/>
    <w:uiPriority w:val="9"/>
    <w:unhideWhenUsed/>
    <w:qFormat/>
    <w:rsid w:val="008B5C54"/>
    <w:pPr>
      <w:keepNext/>
      <w:keepLines/>
      <w:ind w:firstLineChars="0" w:firstLine="0"/>
      <w:jc w:val="left"/>
      <w:outlineLvl w:val="1"/>
    </w:pPr>
    <w:rPr>
      <w:rFonts w:eastAsia="黑体"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C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5C54"/>
    <w:rPr>
      <w:sz w:val="18"/>
      <w:szCs w:val="18"/>
    </w:rPr>
  </w:style>
  <w:style w:type="paragraph" w:styleId="a5">
    <w:name w:val="footer"/>
    <w:basedOn w:val="a"/>
    <w:link w:val="a6"/>
    <w:uiPriority w:val="99"/>
    <w:unhideWhenUsed/>
    <w:rsid w:val="008B5C54"/>
    <w:pPr>
      <w:tabs>
        <w:tab w:val="center" w:pos="4153"/>
        <w:tab w:val="right" w:pos="8306"/>
      </w:tabs>
      <w:snapToGrid w:val="0"/>
      <w:jc w:val="left"/>
    </w:pPr>
    <w:rPr>
      <w:sz w:val="18"/>
      <w:szCs w:val="18"/>
    </w:rPr>
  </w:style>
  <w:style w:type="character" w:customStyle="1" w:styleId="a6">
    <w:name w:val="页脚 字符"/>
    <w:basedOn w:val="a0"/>
    <w:link w:val="a5"/>
    <w:uiPriority w:val="99"/>
    <w:rsid w:val="008B5C54"/>
    <w:rPr>
      <w:sz w:val="18"/>
      <w:szCs w:val="18"/>
    </w:rPr>
  </w:style>
  <w:style w:type="character" w:customStyle="1" w:styleId="10">
    <w:name w:val="标题 1 字符"/>
    <w:basedOn w:val="a0"/>
    <w:link w:val="1"/>
    <w:uiPriority w:val="9"/>
    <w:rsid w:val="008B5C54"/>
    <w:rPr>
      <w:rFonts w:ascii="Times New Roman" w:eastAsia="方正小标宋简体" w:hAnsi="Times New Roman"/>
      <w:bCs/>
      <w:kern w:val="44"/>
      <w:sz w:val="32"/>
      <w:szCs w:val="44"/>
    </w:rPr>
  </w:style>
  <w:style w:type="character" w:customStyle="1" w:styleId="20">
    <w:name w:val="标题 2 字符"/>
    <w:basedOn w:val="a0"/>
    <w:link w:val="2"/>
    <w:uiPriority w:val="9"/>
    <w:rsid w:val="008B5C54"/>
    <w:rPr>
      <w:rFonts w:ascii="Times New Roman" w:eastAsia="黑体" w:hAnsi="Times New Roman" w:cstheme="majorBidi"/>
      <w:b/>
      <w:bCs/>
      <w:sz w:val="24"/>
      <w:szCs w:val="32"/>
    </w:rPr>
  </w:style>
  <w:style w:type="paragraph" w:styleId="a7">
    <w:name w:val="Balloon Text"/>
    <w:basedOn w:val="a"/>
    <w:link w:val="a8"/>
    <w:uiPriority w:val="99"/>
    <w:semiHidden/>
    <w:unhideWhenUsed/>
    <w:rsid w:val="00742BE6"/>
    <w:pPr>
      <w:spacing w:line="240" w:lineRule="auto"/>
    </w:pPr>
    <w:rPr>
      <w:sz w:val="18"/>
      <w:szCs w:val="18"/>
    </w:rPr>
  </w:style>
  <w:style w:type="character" w:customStyle="1" w:styleId="a8">
    <w:name w:val="批注框文本 字符"/>
    <w:basedOn w:val="a0"/>
    <w:link w:val="a7"/>
    <w:uiPriority w:val="99"/>
    <w:semiHidden/>
    <w:rsid w:val="00742BE6"/>
    <w:rPr>
      <w:rFonts w:ascii="Times New Roman" w:eastAsia="宋体" w:hAnsi="Times New Roman"/>
      <w:sz w:val="18"/>
      <w:szCs w:val="18"/>
    </w:rPr>
  </w:style>
  <w:style w:type="paragraph" w:customStyle="1" w:styleId="Default">
    <w:name w:val="Default"/>
    <w:qFormat/>
    <w:rsid w:val="00EC3E6D"/>
    <w:pPr>
      <w:widowControl w:val="0"/>
      <w:autoSpaceDE w:val="0"/>
      <w:autoSpaceDN w:val="0"/>
      <w:adjustRightInd w:val="0"/>
    </w:pPr>
    <w:rPr>
      <w:rFonts w:ascii="华文仿宋" w:eastAsia="华文仿宋" w:hAnsi="Calibri" w:cs="华文仿宋"/>
      <w:color w:val="000000"/>
      <w:kern w:val="0"/>
      <w:sz w:val="24"/>
      <w:szCs w:val="24"/>
    </w:rPr>
  </w:style>
  <w:style w:type="paragraph" w:styleId="a9">
    <w:name w:val="Body Text Indent"/>
    <w:basedOn w:val="a"/>
    <w:link w:val="aa"/>
    <w:qFormat/>
    <w:rsid w:val="00D20429"/>
    <w:pPr>
      <w:spacing w:line="312" w:lineRule="auto"/>
      <w:ind w:firstLineChars="0" w:firstLine="426"/>
    </w:pPr>
    <w:rPr>
      <w:rFonts w:cs="Times New Roman"/>
      <w:sz w:val="21"/>
      <w:szCs w:val="24"/>
    </w:rPr>
  </w:style>
  <w:style w:type="character" w:customStyle="1" w:styleId="aa">
    <w:name w:val="正文文本缩进 字符"/>
    <w:basedOn w:val="a0"/>
    <w:link w:val="a9"/>
    <w:rsid w:val="00D20429"/>
    <w:rPr>
      <w:rFonts w:ascii="Times New Roman" w:eastAsia="宋体" w:hAnsi="Times New Roman" w:cs="Times New Roman"/>
      <w:szCs w:val="24"/>
    </w:rPr>
  </w:style>
  <w:style w:type="paragraph" w:styleId="ab">
    <w:name w:val="List Paragraph"/>
    <w:basedOn w:val="a"/>
    <w:uiPriority w:val="34"/>
    <w:qFormat/>
    <w:rsid w:val="00A85A99"/>
    <w:pPr>
      <w:spacing w:line="240" w:lineRule="auto"/>
      <w:ind w:firstLine="420"/>
    </w:pPr>
    <w:rPr>
      <w:rFonts w:asciiTheme="minorHAnsi" w:eastAsiaTheme="minorEastAsia" w:hAnsiTheme="minorHAnsi"/>
      <w:sz w:val="21"/>
    </w:rPr>
  </w:style>
  <w:style w:type="paragraph" w:styleId="ac">
    <w:name w:val="No Spacing"/>
    <w:uiPriority w:val="1"/>
    <w:qFormat/>
    <w:rsid w:val="00DD2A20"/>
    <w:pPr>
      <w:widowControl w:val="0"/>
      <w:ind w:firstLineChars="200" w:firstLine="200"/>
      <w:jc w:val="both"/>
    </w:pPr>
    <w:rPr>
      <w:rFonts w:ascii="Times New Roman" w:eastAsia="宋体" w:hAnsi="Times New Roman"/>
      <w:sz w:val="24"/>
    </w:rPr>
  </w:style>
  <w:style w:type="paragraph" w:styleId="TOC">
    <w:name w:val="TOC Heading"/>
    <w:basedOn w:val="1"/>
    <w:next w:val="a"/>
    <w:uiPriority w:val="39"/>
    <w:unhideWhenUsed/>
    <w:qFormat/>
    <w:rsid w:val="00545599"/>
    <w:pPr>
      <w:widowControl/>
      <w:spacing w:before="240" w:afterLines="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Cs w:val="32"/>
    </w:rPr>
  </w:style>
  <w:style w:type="paragraph" w:styleId="11">
    <w:name w:val="toc 1"/>
    <w:basedOn w:val="a"/>
    <w:next w:val="a"/>
    <w:autoRedefine/>
    <w:uiPriority w:val="39"/>
    <w:unhideWhenUsed/>
    <w:rsid w:val="00545599"/>
  </w:style>
  <w:style w:type="paragraph" w:styleId="21">
    <w:name w:val="toc 2"/>
    <w:basedOn w:val="a"/>
    <w:next w:val="a"/>
    <w:autoRedefine/>
    <w:uiPriority w:val="39"/>
    <w:unhideWhenUsed/>
    <w:rsid w:val="00545599"/>
    <w:pPr>
      <w:ind w:leftChars="200" w:left="420"/>
    </w:pPr>
  </w:style>
  <w:style w:type="paragraph" w:styleId="3">
    <w:name w:val="toc 3"/>
    <w:basedOn w:val="a"/>
    <w:next w:val="a"/>
    <w:autoRedefine/>
    <w:uiPriority w:val="39"/>
    <w:unhideWhenUsed/>
    <w:rsid w:val="00545599"/>
    <w:pPr>
      <w:spacing w:line="240" w:lineRule="auto"/>
      <w:ind w:leftChars="400" w:left="840" w:firstLineChars="0" w:firstLine="0"/>
    </w:pPr>
    <w:rPr>
      <w:rFonts w:asciiTheme="minorHAnsi" w:eastAsiaTheme="minorEastAsia" w:hAnsiTheme="minorHAnsi"/>
      <w:sz w:val="21"/>
    </w:rPr>
  </w:style>
  <w:style w:type="paragraph" w:styleId="4">
    <w:name w:val="toc 4"/>
    <w:basedOn w:val="a"/>
    <w:next w:val="a"/>
    <w:autoRedefine/>
    <w:uiPriority w:val="39"/>
    <w:unhideWhenUsed/>
    <w:rsid w:val="00545599"/>
    <w:pPr>
      <w:spacing w:line="240" w:lineRule="auto"/>
      <w:ind w:leftChars="600" w:left="1260" w:firstLineChars="0" w:firstLine="0"/>
    </w:pPr>
    <w:rPr>
      <w:rFonts w:asciiTheme="minorHAnsi" w:eastAsiaTheme="minorEastAsia" w:hAnsiTheme="minorHAnsi"/>
      <w:sz w:val="21"/>
    </w:rPr>
  </w:style>
  <w:style w:type="paragraph" w:styleId="5">
    <w:name w:val="toc 5"/>
    <w:basedOn w:val="a"/>
    <w:next w:val="a"/>
    <w:autoRedefine/>
    <w:uiPriority w:val="39"/>
    <w:unhideWhenUsed/>
    <w:rsid w:val="00545599"/>
    <w:pPr>
      <w:spacing w:line="240" w:lineRule="auto"/>
      <w:ind w:leftChars="800" w:left="1680" w:firstLineChars="0" w:firstLine="0"/>
    </w:pPr>
    <w:rPr>
      <w:rFonts w:asciiTheme="minorHAnsi" w:eastAsiaTheme="minorEastAsia" w:hAnsiTheme="minorHAnsi"/>
      <w:sz w:val="21"/>
    </w:rPr>
  </w:style>
  <w:style w:type="paragraph" w:styleId="6">
    <w:name w:val="toc 6"/>
    <w:basedOn w:val="a"/>
    <w:next w:val="a"/>
    <w:autoRedefine/>
    <w:uiPriority w:val="39"/>
    <w:unhideWhenUsed/>
    <w:rsid w:val="00545599"/>
    <w:pPr>
      <w:spacing w:line="240" w:lineRule="auto"/>
      <w:ind w:leftChars="1000" w:left="2100" w:firstLineChars="0" w:firstLine="0"/>
    </w:pPr>
    <w:rPr>
      <w:rFonts w:asciiTheme="minorHAnsi" w:eastAsiaTheme="minorEastAsia" w:hAnsiTheme="minorHAnsi"/>
      <w:sz w:val="21"/>
    </w:rPr>
  </w:style>
  <w:style w:type="paragraph" w:styleId="7">
    <w:name w:val="toc 7"/>
    <w:basedOn w:val="a"/>
    <w:next w:val="a"/>
    <w:autoRedefine/>
    <w:uiPriority w:val="39"/>
    <w:unhideWhenUsed/>
    <w:rsid w:val="00545599"/>
    <w:pPr>
      <w:spacing w:line="240" w:lineRule="auto"/>
      <w:ind w:leftChars="1200" w:left="2520" w:firstLineChars="0" w:firstLine="0"/>
    </w:pPr>
    <w:rPr>
      <w:rFonts w:asciiTheme="minorHAnsi" w:eastAsiaTheme="minorEastAsia" w:hAnsiTheme="minorHAnsi"/>
      <w:sz w:val="21"/>
    </w:rPr>
  </w:style>
  <w:style w:type="paragraph" w:styleId="8">
    <w:name w:val="toc 8"/>
    <w:basedOn w:val="a"/>
    <w:next w:val="a"/>
    <w:autoRedefine/>
    <w:uiPriority w:val="39"/>
    <w:unhideWhenUsed/>
    <w:rsid w:val="00545599"/>
    <w:pPr>
      <w:spacing w:line="240" w:lineRule="auto"/>
      <w:ind w:leftChars="1400" w:left="2940" w:firstLineChars="0" w:firstLine="0"/>
    </w:pPr>
    <w:rPr>
      <w:rFonts w:asciiTheme="minorHAnsi" w:eastAsiaTheme="minorEastAsia" w:hAnsiTheme="minorHAnsi"/>
      <w:sz w:val="21"/>
    </w:rPr>
  </w:style>
  <w:style w:type="paragraph" w:styleId="9">
    <w:name w:val="toc 9"/>
    <w:basedOn w:val="a"/>
    <w:next w:val="a"/>
    <w:autoRedefine/>
    <w:uiPriority w:val="39"/>
    <w:unhideWhenUsed/>
    <w:rsid w:val="00545599"/>
    <w:pPr>
      <w:spacing w:line="240" w:lineRule="auto"/>
      <w:ind w:leftChars="1600" w:left="3360" w:firstLineChars="0" w:firstLine="0"/>
    </w:pPr>
    <w:rPr>
      <w:rFonts w:asciiTheme="minorHAnsi" w:eastAsiaTheme="minorEastAsia" w:hAnsiTheme="minorHAnsi"/>
      <w:sz w:val="21"/>
    </w:rPr>
  </w:style>
  <w:style w:type="character" w:styleId="ad">
    <w:name w:val="Hyperlink"/>
    <w:basedOn w:val="a0"/>
    <w:uiPriority w:val="99"/>
    <w:unhideWhenUsed/>
    <w:rsid w:val="00545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008D-223C-4F35-A851-B9881924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LSH</cp:lastModifiedBy>
  <cp:revision>253</cp:revision>
  <cp:lastPrinted>2019-07-09T03:56:00Z</cp:lastPrinted>
  <dcterms:created xsi:type="dcterms:W3CDTF">2019-07-04T06:52:00Z</dcterms:created>
  <dcterms:modified xsi:type="dcterms:W3CDTF">2020-10-20T11:34:00Z</dcterms:modified>
</cp:coreProperties>
</file>